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3DBDC0" w14:textId="23FD4A6A" w:rsidR="0029216A" w:rsidRPr="00D827B3" w:rsidRDefault="006312AE" w:rsidP="00D827B3">
      <w:pPr>
        <w:pStyle w:val="Ttulo7"/>
        <w:tabs>
          <w:tab w:val="clear" w:pos="0"/>
          <w:tab w:val="left" w:pos="4280"/>
        </w:tabs>
        <w:ind w:left="4248"/>
        <w:jc w:val="both"/>
        <w:rPr>
          <w:rFonts w:ascii="Times New Roman" w:hAnsi="Times New Roman"/>
          <w:bCs w:val="0"/>
          <w:sz w:val="22"/>
          <w:szCs w:val="22"/>
          <w:u w:val="none"/>
          <w:lang w:val="es-ES_tradnl"/>
        </w:rPr>
      </w:pPr>
      <w:r w:rsidRPr="00D827B3">
        <w:rPr>
          <w:rFonts w:ascii="Times New Roman" w:hAnsi="Times New Roman"/>
          <w:bCs w:val="0"/>
          <w:sz w:val="22"/>
          <w:szCs w:val="22"/>
          <w:u w:val="none"/>
          <w:lang w:val="es-ES_tradnl"/>
        </w:rPr>
        <w:t>San José,</w:t>
      </w:r>
      <w:r w:rsidR="00D93E61" w:rsidRPr="00D827B3">
        <w:rPr>
          <w:rFonts w:ascii="Times New Roman" w:hAnsi="Times New Roman"/>
          <w:bCs w:val="0"/>
          <w:sz w:val="22"/>
          <w:szCs w:val="22"/>
          <w:u w:val="none"/>
          <w:lang w:val="es-ES_tradnl"/>
        </w:rPr>
        <w:t xml:space="preserve"> </w:t>
      </w:r>
      <w:r w:rsidR="001A6391" w:rsidRPr="00D827B3">
        <w:rPr>
          <w:rFonts w:ascii="Times New Roman" w:hAnsi="Times New Roman"/>
          <w:bCs w:val="0"/>
          <w:sz w:val="22"/>
          <w:szCs w:val="22"/>
          <w:u w:val="none"/>
          <w:lang w:val="es-ES_tradnl"/>
        </w:rPr>
        <w:t>21</w:t>
      </w:r>
      <w:r w:rsidR="003C3831" w:rsidRPr="00D827B3">
        <w:rPr>
          <w:rFonts w:ascii="Times New Roman" w:hAnsi="Times New Roman"/>
          <w:bCs w:val="0"/>
          <w:sz w:val="22"/>
          <w:szCs w:val="22"/>
          <w:u w:val="none"/>
          <w:lang w:val="es-ES_tradnl"/>
        </w:rPr>
        <w:t xml:space="preserve"> </w:t>
      </w:r>
      <w:r w:rsidR="006A694A" w:rsidRPr="00D827B3">
        <w:rPr>
          <w:rFonts w:ascii="Times New Roman" w:hAnsi="Times New Roman"/>
          <w:bCs w:val="0"/>
          <w:sz w:val="22"/>
          <w:szCs w:val="22"/>
          <w:u w:val="none"/>
          <w:lang w:val="es-ES_tradnl"/>
        </w:rPr>
        <w:t xml:space="preserve">de </w:t>
      </w:r>
      <w:r w:rsidR="00A766BC" w:rsidRPr="00D827B3">
        <w:rPr>
          <w:rFonts w:ascii="Times New Roman" w:hAnsi="Times New Roman"/>
          <w:bCs w:val="0"/>
          <w:sz w:val="22"/>
          <w:szCs w:val="22"/>
          <w:u w:val="none"/>
          <w:lang w:val="es-ES_tradnl"/>
        </w:rPr>
        <w:t>febrero</w:t>
      </w:r>
      <w:r w:rsidR="00860FA5" w:rsidRPr="00D827B3">
        <w:rPr>
          <w:rFonts w:ascii="Times New Roman" w:hAnsi="Times New Roman"/>
          <w:bCs w:val="0"/>
          <w:sz w:val="22"/>
          <w:szCs w:val="22"/>
          <w:u w:val="none"/>
          <w:lang w:val="es-ES_tradnl"/>
        </w:rPr>
        <w:t xml:space="preserve"> de 20</w:t>
      </w:r>
      <w:r w:rsidR="00041CB5" w:rsidRPr="00D827B3">
        <w:rPr>
          <w:rFonts w:ascii="Times New Roman" w:hAnsi="Times New Roman"/>
          <w:bCs w:val="0"/>
          <w:sz w:val="22"/>
          <w:szCs w:val="22"/>
          <w:u w:val="none"/>
          <w:lang w:val="es-ES_tradnl"/>
        </w:rPr>
        <w:t>2</w:t>
      </w:r>
      <w:r w:rsidR="001462B2" w:rsidRPr="00D827B3">
        <w:rPr>
          <w:rFonts w:ascii="Times New Roman" w:hAnsi="Times New Roman"/>
          <w:bCs w:val="0"/>
          <w:sz w:val="22"/>
          <w:szCs w:val="22"/>
          <w:u w:val="none"/>
          <w:lang w:val="es-ES_tradnl"/>
        </w:rPr>
        <w:t>2</w:t>
      </w:r>
    </w:p>
    <w:p w14:paraId="54A54810" w14:textId="29440116" w:rsidR="0029216A" w:rsidRPr="00D827B3" w:rsidRDefault="00860FA5" w:rsidP="00D827B3">
      <w:pPr>
        <w:pStyle w:val="Ttulo7"/>
        <w:tabs>
          <w:tab w:val="clear" w:pos="0"/>
          <w:tab w:val="left" w:pos="4280"/>
        </w:tabs>
        <w:ind w:left="4248"/>
        <w:jc w:val="both"/>
        <w:rPr>
          <w:rFonts w:ascii="Times New Roman" w:hAnsi="Times New Roman"/>
          <w:sz w:val="22"/>
          <w:szCs w:val="22"/>
          <w:u w:val="none"/>
          <w:lang w:val="es-ES_tradnl"/>
        </w:rPr>
      </w:pPr>
      <w:proofErr w:type="spellStart"/>
      <w:r w:rsidRPr="00D827B3">
        <w:rPr>
          <w:rFonts w:ascii="Times New Roman" w:hAnsi="Times New Roman"/>
          <w:sz w:val="22"/>
          <w:szCs w:val="22"/>
          <w:u w:val="none"/>
          <w:lang w:val="es-ES_tradnl"/>
        </w:rPr>
        <w:t>N°</w:t>
      </w:r>
      <w:proofErr w:type="spellEnd"/>
      <w:r w:rsidRPr="00D827B3">
        <w:rPr>
          <w:rFonts w:ascii="Times New Roman" w:hAnsi="Times New Roman"/>
          <w:sz w:val="22"/>
          <w:szCs w:val="22"/>
          <w:u w:val="none"/>
          <w:lang w:val="es-ES_tradnl"/>
        </w:rPr>
        <w:t xml:space="preserve"> </w:t>
      </w:r>
      <w:r w:rsidR="00D827B3">
        <w:rPr>
          <w:rFonts w:ascii="Times New Roman" w:hAnsi="Times New Roman"/>
          <w:sz w:val="22"/>
          <w:szCs w:val="22"/>
          <w:u w:val="none"/>
          <w:lang w:val="es-ES_tradnl"/>
        </w:rPr>
        <w:t>1814</w:t>
      </w:r>
      <w:r w:rsidR="00186ADE" w:rsidRPr="00D827B3">
        <w:rPr>
          <w:rFonts w:ascii="Times New Roman" w:hAnsi="Times New Roman"/>
          <w:sz w:val="22"/>
          <w:szCs w:val="22"/>
          <w:u w:val="none"/>
          <w:lang w:val="es-ES_tradnl"/>
        </w:rPr>
        <w:t>-</w:t>
      </w:r>
      <w:r w:rsidR="00BE2779" w:rsidRPr="00D827B3">
        <w:rPr>
          <w:rFonts w:ascii="Times New Roman" w:hAnsi="Times New Roman"/>
          <w:sz w:val="22"/>
          <w:szCs w:val="22"/>
          <w:u w:val="none"/>
          <w:lang w:val="es-ES_tradnl"/>
        </w:rPr>
        <w:t>202</w:t>
      </w:r>
      <w:r w:rsidR="001462B2" w:rsidRPr="00D827B3">
        <w:rPr>
          <w:rFonts w:ascii="Times New Roman" w:hAnsi="Times New Roman"/>
          <w:sz w:val="22"/>
          <w:szCs w:val="22"/>
          <w:u w:val="none"/>
          <w:lang w:val="es-ES_tradnl"/>
        </w:rPr>
        <w:t>2</w:t>
      </w:r>
    </w:p>
    <w:p w14:paraId="63CA7B6E" w14:textId="77777777" w:rsidR="0029216A" w:rsidRPr="00D827B3" w:rsidRDefault="0029216A" w:rsidP="00D827B3">
      <w:pPr>
        <w:pStyle w:val="Ttulo7"/>
        <w:tabs>
          <w:tab w:val="clear" w:pos="0"/>
          <w:tab w:val="left" w:pos="4280"/>
        </w:tabs>
        <w:ind w:left="4248"/>
        <w:jc w:val="both"/>
        <w:rPr>
          <w:rFonts w:ascii="Times New Roman" w:hAnsi="Times New Roman"/>
          <w:sz w:val="22"/>
          <w:szCs w:val="22"/>
          <w:u w:val="none"/>
          <w:lang w:val="es-CR"/>
        </w:rPr>
      </w:pPr>
      <w:r w:rsidRPr="00D827B3">
        <w:rPr>
          <w:rFonts w:ascii="Times New Roman" w:hAnsi="Times New Roman"/>
          <w:sz w:val="22"/>
          <w:szCs w:val="22"/>
          <w:u w:val="none"/>
          <w:lang w:val="es-CR"/>
        </w:rPr>
        <w:t>Al contestar refiérase a este # de oficio</w:t>
      </w:r>
    </w:p>
    <w:p w14:paraId="69EE2132" w14:textId="77777777" w:rsidR="0029216A" w:rsidRPr="00D827B3" w:rsidRDefault="0029216A" w:rsidP="00D827B3">
      <w:pPr>
        <w:jc w:val="both"/>
        <w:rPr>
          <w:b/>
          <w:bCs/>
          <w:sz w:val="22"/>
          <w:szCs w:val="22"/>
        </w:rPr>
      </w:pPr>
    </w:p>
    <w:p w14:paraId="13736F65" w14:textId="77777777" w:rsidR="00302FF5" w:rsidRPr="00D827B3" w:rsidRDefault="00302FF5" w:rsidP="00D827B3">
      <w:pPr>
        <w:jc w:val="both"/>
        <w:rPr>
          <w:b/>
          <w:bCs/>
          <w:sz w:val="22"/>
          <w:szCs w:val="22"/>
        </w:rPr>
      </w:pPr>
    </w:p>
    <w:p w14:paraId="4018B758" w14:textId="77777777" w:rsidR="00D827B3" w:rsidRPr="00D827B3" w:rsidRDefault="00D827B3" w:rsidP="00D827B3">
      <w:pPr>
        <w:autoSpaceDE w:val="0"/>
        <w:snapToGrid w:val="0"/>
        <w:rPr>
          <w:bCs/>
          <w:sz w:val="22"/>
          <w:szCs w:val="22"/>
          <w:lang w:eastAsia="hi-IN"/>
        </w:rPr>
      </w:pPr>
      <w:r w:rsidRPr="00D827B3">
        <w:rPr>
          <w:b/>
          <w:bCs/>
          <w:sz w:val="22"/>
          <w:szCs w:val="22"/>
        </w:rPr>
        <w:t>Señora</w:t>
      </w:r>
    </w:p>
    <w:p w14:paraId="0F3E6FD5" w14:textId="77777777" w:rsidR="00D827B3" w:rsidRPr="00D827B3" w:rsidRDefault="00D827B3" w:rsidP="00D827B3">
      <w:pPr>
        <w:autoSpaceDE w:val="0"/>
        <w:snapToGrid w:val="0"/>
        <w:rPr>
          <w:b/>
          <w:bCs/>
          <w:sz w:val="22"/>
          <w:szCs w:val="22"/>
        </w:rPr>
      </w:pPr>
      <w:r w:rsidRPr="00D827B3">
        <w:rPr>
          <w:b/>
          <w:bCs/>
          <w:sz w:val="22"/>
          <w:szCs w:val="22"/>
        </w:rPr>
        <w:t>Licda. Nacira Valverde Bermúdez</w:t>
      </w:r>
    </w:p>
    <w:p w14:paraId="6954EF15" w14:textId="77777777" w:rsidR="00D827B3" w:rsidRPr="00D827B3" w:rsidRDefault="00D827B3" w:rsidP="00D827B3">
      <w:pPr>
        <w:autoSpaceDE w:val="0"/>
        <w:snapToGrid w:val="0"/>
        <w:rPr>
          <w:b/>
          <w:bCs/>
          <w:sz w:val="22"/>
          <w:szCs w:val="22"/>
        </w:rPr>
      </w:pPr>
      <w:r w:rsidRPr="00D827B3">
        <w:rPr>
          <w:b/>
          <w:bCs/>
          <w:sz w:val="22"/>
          <w:szCs w:val="22"/>
        </w:rPr>
        <w:t>Directora de Planificación</w:t>
      </w:r>
    </w:p>
    <w:p w14:paraId="7A64D503" w14:textId="77777777" w:rsidR="00D827B3" w:rsidRPr="00D827B3" w:rsidRDefault="00D827B3" w:rsidP="00D827B3">
      <w:pPr>
        <w:rPr>
          <w:rFonts w:eastAsia="Arial Unicode MS"/>
          <w:b/>
          <w:bCs/>
          <w:sz w:val="22"/>
          <w:szCs w:val="22"/>
        </w:rPr>
      </w:pPr>
    </w:p>
    <w:p w14:paraId="094CD2DF" w14:textId="77777777" w:rsidR="00D827B3" w:rsidRPr="00D827B3" w:rsidRDefault="00D827B3" w:rsidP="00D827B3">
      <w:pPr>
        <w:autoSpaceDE w:val="0"/>
        <w:snapToGrid w:val="0"/>
        <w:rPr>
          <w:b/>
          <w:bCs/>
          <w:sz w:val="22"/>
          <w:szCs w:val="22"/>
        </w:rPr>
      </w:pPr>
      <w:r w:rsidRPr="00D827B3">
        <w:rPr>
          <w:b/>
          <w:bCs/>
          <w:sz w:val="22"/>
          <w:szCs w:val="22"/>
        </w:rPr>
        <w:t>Estimada señora:</w:t>
      </w:r>
    </w:p>
    <w:p w14:paraId="19D5094A" w14:textId="37037BB1" w:rsidR="009C666D" w:rsidRPr="00D827B3" w:rsidRDefault="009C666D" w:rsidP="00D827B3">
      <w:pPr>
        <w:jc w:val="both"/>
        <w:rPr>
          <w:b/>
          <w:bCs/>
          <w:sz w:val="22"/>
          <w:szCs w:val="22"/>
          <w:lang w:val="es-CR"/>
        </w:rPr>
      </w:pPr>
    </w:p>
    <w:p w14:paraId="1BACF7C4" w14:textId="77777777" w:rsidR="00517B30" w:rsidRPr="00D827B3" w:rsidRDefault="00517B30" w:rsidP="00D827B3">
      <w:pPr>
        <w:jc w:val="both"/>
        <w:rPr>
          <w:b/>
          <w:bCs/>
          <w:sz w:val="22"/>
          <w:szCs w:val="22"/>
          <w:lang w:val="es-CR"/>
        </w:rPr>
      </w:pPr>
    </w:p>
    <w:p w14:paraId="1CD21F2C" w14:textId="7EDDF989" w:rsidR="0029216A" w:rsidRPr="00D827B3" w:rsidRDefault="0029216A" w:rsidP="00D827B3">
      <w:pPr>
        <w:ind w:firstLine="708"/>
        <w:jc w:val="both"/>
        <w:rPr>
          <w:sz w:val="22"/>
          <w:szCs w:val="22"/>
        </w:rPr>
      </w:pPr>
      <w:r w:rsidRPr="00D827B3">
        <w:rPr>
          <w:sz w:val="22"/>
          <w:szCs w:val="22"/>
        </w:rPr>
        <w:t xml:space="preserve">Para su estimable conocimiento y fines consiguientes, le transcribo el acuerdo tomado por el Consejo Superior del Poder Judicial, en sesión </w:t>
      </w:r>
      <w:proofErr w:type="spellStart"/>
      <w:r w:rsidR="0087670A" w:rsidRPr="00D827B3">
        <w:rPr>
          <w:b/>
          <w:bCs/>
          <w:sz w:val="22"/>
          <w:szCs w:val="22"/>
        </w:rPr>
        <w:t>N°</w:t>
      </w:r>
      <w:proofErr w:type="spellEnd"/>
      <w:r w:rsidR="009F45D2" w:rsidRPr="00D827B3">
        <w:rPr>
          <w:b/>
          <w:bCs/>
          <w:sz w:val="22"/>
          <w:szCs w:val="22"/>
        </w:rPr>
        <w:t xml:space="preserve"> </w:t>
      </w:r>
      <w:r w:rsidR="001A6391" w:rsidRPr="00D827B3">
        <w:rPr>
          <w:b/>
          <w:bCs/>
          <w:sz w:val="22"/>
          <w:szCs w:val="22"/>
        </w:rPr>
        <w:t>14</w:t>
      </w:r>
      <w:r w:rsidR="003011FF" w:rsidRPr="00D827B3">
        <w:rPr>
          <w:b/>
          <w:bCs/>
          <w:sz w:val="22"/>
          <w:szCs w:val="22"/>
        </w:rPr>
        <w:t>-</w:t>
      </w:r>
      <w:r w:rsidR="003C3831" w:rsidRPr="00D827B3">
        <w:rPr>
          <w:b/>
          <w:bCs/>
          <w:sz w:val="22"/>
          <w:szCs w:val="22"/>
        </w:rPr>
        <w:t>202</w:t>
      </w:r>
      <w:r w:rsidR="00A31EA0" w:rsidRPr="00D827B3">
        <w:rPr>
          <w:b/>
          <w:bCs/>
          <w:sz w:val="22"/>
          <w:szCs w:val="22"/>
        </w:rPr>
        <w:t>2</w:t>
      </w:r>
      <w:r w:rsidR="00D930B6" w:rsidRPr="00D827B3">
        <w:rPr>
          <w:b/>
          <w:bCs/>
          <w:sz w:val="22"/>
          <w:szCs w:val="22"/>
        </w:rPr>
        <w:t xml:space="preserve"> </w:t>
      </w:r>
      <w:r w:rsidR="00D930B6" w:rsidRPr="00D827B3">
        <w:rPr>
          <w:bCs/>
          <w:sz w:val="22"/>
          <w:szCs w:val="22"/>
        </w:rPr>
        <w:t>c</w:t>
      </w:r>
      <w:r w:rsidRPr="00D827B3">
        <w:rPr>
          <w:sz w:val="22"/>
          <w:szCs w:val="22"/>
        </w:rPr>
        <w:t>elebrada el</w:t>
      </w:r>
      <w:r w:rsidR="004C65F3" w:rsidRPr="00D827B3">
        <w:rPr>
          <w:sz w:val="22"/>
          <w:szCs w:val="22"/>
        </w:rPr>
        <w:t xml:space="preserve"> </w:t>
      </w:r>
      <w:r w:rsidR="00A766BC" w:rsidRPr="00D827B3">
        <w:rPr>
          <w:b/>
          <w:sz w:val="22"/>
          <w:szCs w:val="22"/>
        </w:rPr>
        <w:t>1</w:t>
      </w:r>
      <w:r w:rsidR="00B75216">
        <w:rPr>
          <w:b/>
          <w:sz w:val="22"/>
          <w:szCs w:val="22"/>
        </w:rPr>
        <w:t>7</w:t>
      </w:r>
      <w:r w:rsidR="00E02368" w:rsidRPr="00D827B3">
        <w:rPr>
          <w:b/>
          <w:sz w:val="22"/>
          <w:szCs w:val="22"/>
        </w:rPr>
        <w:t xml:space="preserve"> de </w:t>
      </w:r>
      <w:r w:rsidR="00B75216">
        <w:rPr>
          <w:b/>
          <w:sz w:val="22"/>
          <w:szCs w:val="22"/>
        </w:rPr>
        <w:t>febrero</w:t>
      </w:r>
      <w:r w:rsidR="006F5DA1" w:rsidRPr="00D827B3">
        <w:rPr>
          <w:b/>
          <w:bCs/>
          <w:sz w:val="22"/>
          <w:szCs w:val="22"/>
        </w:rPr>
        <w:t xml:space="preserve"> </w:t>
      </w:r>
      <w:r w:rsidR="003011FF" w:rsidRPr="00D827B3">
        <w:rPr>
          <w:b/>
          <w:bCs/>
          <w:sz w:val="22"/>
          <w:szCs w:val="22"/>
        </w:rPr>
        <w:t xml:space="preserve">del </w:t>
      </w:r>
      <w:r w:rsidR="003C3831" w:rsidRPr="00D827B3">
        <w:rPr>
          <w:b/>
          <w:bCs/>
          <w:sz w:val="22"/>
          <w:szCs w:val="22"/>
        </w:rPr>
        <w:t>202</w:t>
      </w:r>
      <w:r w:rsidR="00A31EA0" w:rsidRPr="00D827B3">
        <w:rPr>
          <w:b/>
          <w:bCs/>
          <w:sz w:val="22"/>
          <w:szCs w:val="22"/>
        </w:rPr>
        <w:t>2</w:t>
      </w:r>
      <w:r w:rsidR="00B43F30" w:rsidRPr="00D827B3">
        <w:rPr>
          <w:b/>
          <w:bCs/>
          <w:sz w:val="22"/>
          <w:szCs w:val="22"/>
        </w:rPr>
        <w:t>,</w:t>
      </w:r>
      <w:r w:rsidRPr="00D827B3">
        <w:rPr>
          <w:sz w:val="22"/>
          <w:szCs w:val="22"/>
        </w:rPr>
        <w:t xml:space="preserve"> que literalmente dice:</w:t>
      </w:r>
    </w:p>
    <w:p w14:paraId="440292CE" w14:textId="77777777" w:rsidR="0029216A" w:rsidRPr="00D827B3" w:rsidRDefault="0029216A" w:rsidP="00D827B3">
      <w:pPr>
        <w:ind w:firstLine="15"/>
        <w:jc w:val="both"/>
        <w:rPr>
          <w:b/>
          <w:bCs/>
          <w:sz w:val="22"/>
          <w:szCs w:val="22"/>
        </w:rPr>
      </w:pPr>
    </w:p>
    <w:p w14:paraId="2596AA06" w14:textId="30EA738C" w:rsidR="00D827B3" w:rsidRDefault="00294863" w:rsidP="00D827B3">
      <w:pPr>
        <w:keepNext/>
        <w:tabs>
          <w:tab w:val="num" w:pos="0"/>
        </w:tabs>
        <w:jc w:val="center"/>
        <w:outlineLvl w:val="1"/>
        <w:rPr>
          <w:b/>
          <w:bCs/>
          <w:sz w:val="22"/>
          <w:szCs w:val="22"/>
          <w:u w:val="single"/>
        </w:rPr>
      </w:pPr>
      <w:r w:rsidRPr="00D827B3">
        <w:rPr>
          <w:b/>
          <w:bCs/>
          <w:sz w:val="22"/>
          <w:szCs w:val="22"/>
        </w:rPr>
        <w:t>“</w:t>
      </w:r>
      <w:bookmarkStart w:id="0" w:name="_Toc96002943"/>
      <w:r w:rsidR="00D827B3" w:rsidRPr="00D827B3">
        <w:rPr>
          <w:b/>
          <w:bCs/>
          <w:sz w:val="22"/>
          <w:szCs w:val="22"/>
          <w:u w:val="single"/>
        </w:rPr>
        <w:t>ARTÍCULO XLVIII</w:t>
      </w:r>
      <w:bookmarkEnd w:id="0"/>
    </w:p>
    <w:p w14:paraId="2D5F916F" w14:textId="77777777" w:rsidR="00D827B3" w:rsidRPr="00D827B3" w:rsidRDefault="00D827B3" w:rsidP="00D827B3">
      <w:pPr>
        <w:keepNext/>
        <w:tabs>
          <w:tab w:val="num" w:pos="0"/>
        </w:tabs>
        <w:jc w:val="center"/>
        <w:outlineLvl w:val="1"/>
        <w:rPr>
          <w:b/>
          <w:bCs/>
          <w:sz w:val="22"/>
          <w:szCs w:val="22"/>
          <w:lang w:eastAsia="es-ES"/>
        </w:rPr>
      </w:pPr>
    </w:p>
    <w:p w14:paraId="20057475" w14:textId="77777777" w:rsidR="00D827B3" w:rsidRPr="00D827B3" w:rsidRDefault="00D827B3" w:rsidP="00D827B3">
      <w:pPr>
        <w:autoSpaceDE w:val="0"/>
        <w:autoSpaceDN w:val="0"/>
        <w:adjustRightInd w:val="0"/>
        <w:jc w:val="both"/>
        <w:rPr>
          <w:rFonts w:eastAsia="Calibri"/>
          <w:b/>
          <w:sz w:val="22"/>
          <w:szCs w:val="22"/>
          <w:lang w:val="es-CR" w:eastAsia="en-US"/>
        </w:rPr>
      </w:pPr>
      <w:r w:rsidRPr="00D827B3">
        <w:rPr>
          <w:rFonts w:eastAsia="Calibri"/>
          <w:b/>
          <w:sz w:val="22"/>
          <w:szCs w:val="22"/>
          <w:lang w:val="es-CR" w:eastAsia="en-US"/>
        </w:rPr>
        <w:t xml:space="preserve">Documento </w:t>
      </w:r>
      <w:proofErr w:type="spellStart"/>
      <w:r w:rsidRPr="00D827B3">
        <w:rPr>
          <w:rFonts w:eastAsia="Calibri"/>
          <w:b/>
          <w:sz w:val="22"/>
          <w:szCs w:val="22"/>
          <w:lang w:val="es-CR" w:eastAsia="en-US"/>
        </w:rPr>
        <w:t>N°</w:t>
      </w:r>
      <w:proofErr w:type="spellEnd"/>
      <w:r w:rsidRPr="00D827B3">
        <w:rPr>
          <w:rFonts w:eastAsia="Calibri"/>
          <w:b/>
          <w:sz w:val="22"/>
          <w:szCs w:val="22"/>
          <w:lang w:val="es-CR" w:eastAsia="en-US"/>
        </w:rPr>
        <w:t xml:space="preserve"> 1039-2022</w:t>
      </w:r>
    </w:p>
    <w:p w14:paraId="0C5182E6" w14:textId="77777777" w:rsidR="00D827B3" w:rsidRPr="00D827B3" w:rsidRDefault="00D827B3" w:rsidP="00D827B3">
      <w:pPr>
        <w:suppressAutoHyphens w:val="0"/>
        <w:rPr>
          <w:rFonts w:eastAsia="Calibri"/>
          <w:sz w:val="22"/>
          <w:szCs w:val="22"/>
          <w:lang w:val="es-CR" w:eastAsia="en-US"/>
        </w:rPr>
      </w:pPr>
    </w:p>
    <w:p w14:paraId="2E177597" w14:textId="2ED42F49" w:rsidR="00D827B3" w:rsidRDefault="00D827B3" w:rsidP="00D827B3">
      <w:pPr>
        <w:ind w:firstLine="708"/>
        <w:jc w:val="both"/>
        <w:rPr>
          <w:sz w:val="22"/>
          <w:szCs w:val="22"/>
        </w:rPr>
      </w:pPr>
      <w:r w:rsidRPr="00D827B3">
        <w:rPr>
          <w:sz w:val="22"/>
          <w:szCs w:val="22"/>
        </w:rPr>
        <w:t xml:space="preserve">La licenciada Nacira Valverde Bermúdez, </w:t>
      </w:r>
      <w:proofErr w:type="gramStart"/>
      <w:r w:rsidRPr="00D827B3">
        <w:rPr>
          <w:sz w:val="22"/>
          <w:szCs w:val="22"/>
        </w:rPr>
        <w:t>Directora</w:t>
      </w:r>
      <w:proofErr w:type="gramEnd"/>
      <w:r w:rsidRPr="00D827B3">
        <w:rPr>
          <w:sz w:val="22"/>
          <w:szCs w:val="22"/>
        </w:rPr>
        <w:t xml:space="preserve"> interina de Planificación, en oficio </w:t>
      </w:r>
      <w:proofErr w:type="spellStart"/>
      <w:r w:rsidRPr="00D827B3">
        <w:rPr>
          <w:sz w:val="22"/>
          <w:szCs w:val="22"/>
        </w:rPr>
        <w:t>N°</w:t>
      </w:r>
      <w:proofErr w:type="spellEnd"/>
      <w:r w:rsidRPr="00D827B3">
        <w:rPr>
          <w:sz w:val="22"/>
          <w:szCs w:val="22"/>
        </w:rPr>
        <w:t xml:space="preserve"> 91-PLA-PE-2022 del 28 de enero de 2022, informó lo siguiente:</w:t>
      </w:r>
    </w:p>
    <w:p w14:paraId="1D26BF8A" w14:textId="77777777" w:rsidR="00D827B3" w:rsidRPr="00D827B3" w:rsidRDefault="00D827B3" w:rsidP="00D827B3">
      <w:pPr>
        <w:ind w:firstLine="708"/>
        <w:jc w:val="both"/>
        <w:rPr>
          <w:sz w:val="22"/>
          <w:szCs w:val="22"/>
        </w:rPr>
      </w:pPr>
    </w:p>
    <w:p w14:paraId="5506F8FF" w14:textId="77777777" w:rsidR="00D827B3" w:rsidRPr="00D827B3" w:rsidRDefault="00D827B3" w:rsidP="00D827B3">
      <w:pPr>
        <w:tabs>
          <w:tab w:val="left" w:pos="6916"/>
        </w:tabs>
        <w:suppressAutoHyphens w:val="0"/>
        <w:ind w:left="851" w:right="851" w:firstLine="851"/>
        <w:jc w:val="both"/>
        <w:rPr>
          <w:sz w:val="22"/>
          <w:szCs w:val="22"/>
          <w:lang w:val="es-CR" w:eastAsia="en-US"/>
        </w:rPr>
      </w:pPr>
      <w:r w:rsidRPr="00D827B3">
        <w:rPr>
          <w:sz w:val="22"/>
          <w:szCs w:val="22"/>
          <w:lang w:val="es-CR" w:eastAsia="en-US"/>
        </w:rPr>
        <w:t xml:space="preserve">“Le remito el informe suscrito por el Máster Allan Pow Hing Cordero, </w:t>
      </w:r>
      <w:proofErr w:type="gramStart"/>
      <w:r w:rsidRPr="00D827B3">
        <w:rPr>
          <w:sz w:val="22"/>
          <w:szCs w:val="22"/>
          <w:lang w:val="es-CR" w:eastAsia="en-US"/>
        </w:rPr>
        <w:t>Jefe</w:t>
      </w:r>
      <w:proofErr w:type="gramEnd"/>
      <w:r w:rsidRPr="00D827B3">
        <w:rPr>
          <w:sz w:val="22"/>
          <w:szCs w:val="22"/>
          <w:lang w:val="es-CR" w:eastAsia="en-US"/>
        </w:rPr>
        <w:t xml:space="preserve"> del Subproceso de Planificación Estratégica, relacionado con el Modelo de Gestión Estratégica que forma parte del Plan Estratégico Institucional 2019-2024 (PEI 2019-2024) </w:t>
      </w:r>
    </w:p>
    <w:p w14:paraId="078B31FF" w14:textId="77777777" w:rsidR="00D827B3" w:rsidRPr="00D827B3" w:rsidRDefault="00D827B3" w:rsidP="00D827B3">
      <w:pPr>
        <w:suppressAutoHyphens w:val="0"/>
        <w:ind w:left="851" w:right="851" w:firstLine="851"/>
        <w:jc w:val="both"/>
        <w:rPr>
          <w:sz w:val="22"/>
          <w:szCs w:val="22"/>
          <w:u w:val="single"/>
          <w:lang w:val="es-CR" w:eastAsia="en-US"/>
        </w:rPr>
      </w:pPr>
      <w:r w:rsidRPr="00D827B3">
        <w:rPr>
          <w:sz w:val="22"/>
          <w:szCs w:val="22"/>
          <w:u w:val="single"/>
          <w:lang w:val="es-CR" w:eastAsia="en-US"/>
        </w:rPr>
        <w:t xml:space="preserve"> </w:t>
      </w:r>
    </w:p>
    <w:p w14:paraId="0209B192" w14:textId="77777777" w:rsidR="00D827B3" w:rsidRPr="00D827B3" w:rsidRDefault="00D827B3" w:rsidP="00D827B3">
      <w:pPr>
        <w:tabs>
          <w:tab w:val="num" w:pos="709"/>
        </w:tabs>
        <w:suppressAutoHyphens w:val="0"/>
        <w:ind w:left="851" w:right="851" w:firstLine="851"/>
        <w:jc w:val="both"/>
        <w:rPr>
          <w:sz w:val="22"/>
          <w:szCs w:val="22"/>
          <w:lang w:val="es-CR" w:eastAsia="en-US"/>
        </w:rPr>
      </w:pPr>
      <w:r w:rsidRPr="00D827B3">
        <w:rPr>
          <w:sz w:val="22"/>
          <w:szCs w:val="22"/>
          <w:lang w:val="es-CR" w:eastAsia="en-US"/>
        </w:rPr>
        <w:t xml:space="preserve">Con el fin de que se manifestaran al respecto, mediante oficio 1355-PLA-PE-2021, del 1° de diciembre de 2021, el preliminar de este documento fue puesto en conocimiento de los Integrantes del Comité de Planeación Estratégica. Al respecto se recibieron respuestas por parte de la Máster Dinorah Álvarez Acosta, Integrante del Consejo Superior; Máster Roxana Arrieta Meléndez, Directora de Gestión </w:t>
      </w:r>
      <w:proofErr w:type="gramStart"/>
      <w:r w:rsidRPr="00D827B3">
        <w:rPr>
          <w:sz w:val="22"/>
          <w:szCs w:val="22"/>
          <w:lang w:val="es-CR" w:eastAsia="en-US"/>
        </w:rPr>
        <w:t>Humana;  y</w:t>
      </w:r>
      <w:proofErr w:type="gramEnd"/>
      <w:r w:rsidRPr="00D827B3">
        <w:rPr>
          <w:sz w:val="22"/>
          <w:szCs w:val="22"/>
          <w:lang w:val="es-CR" w:eastAsia="en-US"/>
        </w:rPr>
        <w:t xml:space="preserve"> de la Máster Ana Eugenia Romero Jenkins, Directora Ejecutiva; en el cual indicaron no tener observaciones.”</w:t>
      </w:r>
    </w:p>
    <w:p w14:paraId="48EDEEC7" w14:textId="77777777" w:rsidR="00D827B3" w:rsidRPr="00D827B3" w:rsidRDefault="00D827B3" w:rsidP="00D827B3">
      <w:pPr>
        <w:suppressAutoHyphens w:val="0"/>
        <w:ind w:firstLine="708"/>
        <w:jc w:val="both"/>
        <w:rPr>
          <w:sz w:val="22"/>
          <w:szCs w:val="22"/>
          <w:lang w:val="es-CR" w:eastAsia="en-US"/>
        </w:rPr>
      </w:pPr>
    </w:p>
    <w:p w14:paraId="6AEE1FBC" w14:textId="728ED790" w:rsidR="00D827B3" w:rsidRDefault="00D827B3" w:rsidP="00D827B3">
      <w:pPr>
        <w:suppressAutoHyphens w:val="0"/>
        <w:ind w:left="851" w:right="851" w:firstLine="709"/>
        <w:jc w:val="both"/>
        <w:rPr>
          <w:snapToGrid w:val="0"/>
          <w:sz w:val="22"/>
          <w:szCs w:val="22"/>
          <w:lang w:val="es-CR" w:eastAsia="en-US"/>
        </w:rPr>
      </w:pPr>
      <w:r w:rsidRPr="00D827B3">
        <w:rPr>
          <w:snapToGrid w:val="0"/>
          <w:sz w:val="22"/>
          <w:szCs w:val="22"/>
          <w:lang w:val="es-CR" w:eastAsia="en-US"/>
        </w:rPr>
        <w:t>“La Corte Plena en sesión 56-18 del 10 de diciembre de 2018, artículo XXIII aprobó el informe 1463-PLA-2018 sobre el Plan Estratégico Institucional del Poder Judicial para el periodo 2019-2024, donde se acordó:</w:t>
      </w:r>
    </w:p>
    <w:p w14:paraId="6CF0A59F" w14:textId="77777777" w:rsidR="00D827B3" w:rsidRPr="00D827B3" w:rsidRDefault="00D827B3" w:rsidP="00D827B3">
      <w:pPr>
        <w:suppressAutoHyphens w:val="0"/>
        <w:ind w:left="851" w:right="851" w:firstLine="709"/>
        <w:jc w:val="both"/>
        <w:rPr>
          <w:snapToGrid w:val="0"/>
          <w:sz w:val="22"/>
          <w:szCs w:val="22"/>
          <w:lang w:val="es-CR" w:eastAsia="en-US"/>
        </w:rPr>
      </w:pPr>
    </w:p>
    <w:p w14:paraId="4C445F2A" w14:textId="670EBDC5" w:rsidR="00D827B3" w:rsidRDefault="00D827B3" w:rsidP="00D827B3">
      <w:pPr>
        <w:widowControl w:val="0"/>
        <w:suppressAutoHyphens w:val="0"/>
        <w:ind w:left="851" w:right="851" w:firstLine="709"/>
        <w:jc w:val="both"/>
        <w:rPr>
          <w:i/>
          <w:iCs/>
          <w:sz w:val="22"/>
          <w:szCs w:val="22"/>
          <w:lang w:val="es-CR" w:eastAsia="en-US"/>
        </w:rPr>
      </w:pPr>
      <w:r w:rsidRPr="00D827B3">
        <w:rPr>
          <w:b/>
          <w:bCs/>
          <w:i/>
          <w:iCs/>
          <w:sz w:val="22"/>
          <w:szCs w:val="22"/>
          <w:lang w:eastAsia="en-US"/>
        </w:rPr>
        <w:t>“</w:t>
      </w:r>
      <w:r w:rsidRPr="00D827B3">
        <w:rPr>
          <w:i/>
          <w:iCs/>
          <w:sz w:val="22"/>
          <w:szCs w:val="22"/>
          <w:lang w:val="es-CR" w:eastAsia="en-US"/>
        </w:rPr>
        <w:t xml:space="preserve">En ese sentido se acoge el informe </w:t>
      </w:r>
      <w:proofErr w:type="spellStart"/>
      <w:r w:rsidRPr="00D827B3">
        <w:rPr>
          <w:i/>
          <w:iCs/>
          <w:sz w:val="22"/>
          <w:szCs w:val="22"/>
          <w:lang w:val="es-CR" w:eastAsia="en-US"/>
        </w:rPr>
        <w:t>N°</w:t>
      </w:r>
      <w:proofErr w:type="spellEnd"/>
      <w:r w:rsidRPr="00D827B3">
        <w:rPr>
          <w:i/>
          <w:iCs/>
          <w:sz w:val="22"/>
          <w:szCs w:val="22"/>
          <w:lang w:val="es-CR" w:eastAsia="en-US"/>
        </w:rPr>
        <w:t xml:space="preserve"> </w:t>
      </w:r>
      <w:r w:rsidRPr="00D827B3">
        <w:rPr>
          <w:rFonts w:eastAsia="Calibri"/>
          <w:i/>
          <w:iCs/>
          <w:sz w:val="22"/>
          <w:szCs w:val="22"/>
          <w:lang w:val="es-CR" w:eastAsia="en-US"/>
        </w:rPr>
        <w:t xml:space="preserve">1463-PLA-2018, </w:t>
      </w:r>
      <w:r w:rsidRPr="00D827B3">
        <w:rPr>
          <w:rFonts w:eastAsia="Calibri"/>
          <w:b/>
          <w:bCs/>
          <w:i/>
          <w:iCs/>
          <w:sz w:val="22"/>
          <w:szCs w:val="22"/>
          <w:lang w:val="es-CR" w:eastAsia="en-US"/>
        </w:rPr>
        <w:t>Plan Estratégico Institucional 2019-2024</w:t>
      </w:r>
      <w:r w:rsidRPr="00D827B3">
        <w:rPr>
          <w:rFonts w:eastAsia="Calibri"/>
          <w:i/>
          <w:iCs/>
          <w:sz w:val="22"/>
          <w:szCs w:val="22"/>
          <w:lang w:val="es-CR" w:eastAsia="en-US"/>
        </w:rPr>
        <w:t xml:space="preserve">, </w:t>
      </w:r>
      <w:r w:rsidRPr="00D827B3">
        <w:rPr>
          <w:i/>
          <w:iCs/>
          <w:sz w:val="22"/>
          <w:szCs w:val="22"/>
          <w:lang w:val="es-CR" w:eastAsia="en-US"/>
        </w:rPr>
        <w:t>así como sus recomendaciones en los términos señalados.</w:t>
      </w:r>
    </w:p>
    <w:p w14:paraId="3B9315E5" w14:textId="77777777" w:rsidR="00D827B3" w:rsidRPr="00D827B3" w:rsidRDefault="00D827B3" w:rsidP="00D827B3">
      <w:pPr>
        <w:widowControl w:val="0"/>
        <w:suppressAutoHyphens w:val="0"/>
        <w:ind w:left="851" w:right="851" w:firstLine="709"/>
        <w:jc w:val="both"/>
        <w:rPr>
          <w:i/>
          <w:iCs/>
          <w:sz w:val="22"/>
          <w:szCs w:val="22"/>
          <w:lang w:val="es-CR" w:eastAsia="zh-CN"/>
        </w:rPr>
      </w:pPr>
    </w:p>
    <w:p w14:paraId="7603AF70" w14:textId="77777777" w:rsidR="00D827B3" w:rsidRPr="00D827B3" w:rsidRDefault="00D827B3" w:rsidP="00D827B3">
      <w:pPr>
        <w:suppressAutoHyphens w:val="0"/>
        <w:ind w:left="851" w:right="851" w:firstLine="709"/>
        <w:jc w:val="both"/>
        <w:rPr>
          <w:sz w:val="22"/>
          <w:szCs w:val="22"/>
          <w:lang w:eastAsia="en-US"/>
        </w:rPr>
      </w:pPr>
      <w:r w:rsidRPr="00D827B3">
        <w:rPr>
          <w:snapToGrid w:val="0"/>
          <w:sz w:val="22"/>
          <w:szCs w:val="22"/>
          <w:lang w:eastAsia="en-US"/>
        </w:rPr>
        <w:t xml:space="preserve">El Plan Estratégico Institucional 2019-2024 (PEI 2019-2024) forma parte del Modelo de Gestión Estratégica, </w:t>
      </w:r>
      <w:r w:rsidRPr="00D827B3">
        <w:rPr>
          <w:sz w:val="22"/>
          <w:szCs w:val="22"/>
          <w:lang w:eastAsia="en-US"/>
        </w:rPr>
        <w:t xml:space="preserve">que incluye el proceso de alineamiento estratégico en todos los niveles de la organización y componentes de la estratégica, el cual es definido como: </w:t>
      </w:r>
    </w:p>
    <w:p w14:paraId="066E4C15" w14:textId="14BBB82D" w:rsidR="00D827B3" w:rsidRDefault="00D827B3" w:rsidP="00D827B3">
      <w:pPr>
        <w:suppressAutoHyphens w:val="0"/>
        <w:ind w:left="851" w:right="851" w:firstLine="709"/>
        <w:jc w:val="both"/>
        <w:rPr>
          <w:i/>
          <w:iCs/>
          <w:sz w:val="22"/>
          <w:szCs w:val="22"/>
          <w:lang w:eastAsia="en-US"/>
        </w:rPr>
      </w:pPr>
      <w:r w:rsidRPr="00D827B3">
        <w:rPr>
          <w:i/>
          <w:iCs/>
          <w:sz w:val="22"/>
          <w:szCs w:val="22"/>
          <w:lang w:eastAsia="en-US"/>
        </w:rPr>
        <w:lastRenderedPageBreak/>
        <w:t xml:space="preserve">“(…) como el </w:t>
      </w:r>
      <w:r w:rsidRPr="00D827B3">
        <w:rPr>
          <w:b/>
          <w:bCs/>
          <w:i/>
          <w:iCs/>
          <w:sz w:val="22"/>
          <w:szCs w:val="22"/>
          <w:lang w:eastAsia="en-US"/>
        </w:rPr>
        <w:t xml:space="preserve">grado de consistencia y coherencia </w:t>
      </w:r>
      <w:r w:rsidRPr="00D827B3">
        <w:rPr>
          <w:i/>
          <w:iCs/>
          <w:sz w:val="22"/>
          <w:szCs w:val="22"/>
          <w:lang w:eastAsia="en-US"/>
        </w:rPr>
        <w:t xml:space="preserve">existente entre el Plan Estratégico, la cultura y todas las actividades y tareas que se realizan en el proceso de ejecución estratégica”. </w:t>
      </w:r>
    </w:p>
    <w:p w14:paraId="009562DB" w14:textId="77777777" w:rsidR="00D827B3" w:rsidRPr="00D827B3" w:rsidRDefault="00D827B3" w:rsidP="00D827B3">
      <w:pPr>
        <w:suppressAutoHyphens w:val="0"/>
        <w:ind w:left="851" w:right="851" w:firstLine="709"/>
        <w:jc w:val="both"/>
        <w:rPr>
          <w:i/>
          <w:iCs/>
          <w:sz w:val="22"/>
          <w:szCs w:val="22"/>
          <w:lang w:eastAsia="en-US"/>
        </w:rPr>
      </w:pPr>
    </w:p>
    <w:p w14:paraId="506986C9" w14:textId="7DFE0A20" w:rsidR="00D827B3" w:rsidRDefault="00D827B3" w:rsidP="00D827B3">
      <w:pPr>
        <w:suppressAutoHyphens w:val="0"/>
        <w:ind w:left="851" w:right="851" w:firstLine="709"/>
        <w:jc w:val="both"/>
        <w:rPr>
          <w:i/>
          <w:iCs/>
          <w:sz w:val="22"/>
          <w:szCs w:val="22"/>
          <w:lang w:eastAsia="en-US"/>
        </w:rPr>
      </w:pPr>
      <w:r w:rsidRPr="00D827B3">
        <w:rPr>
          <w:i/>
          <w:iCs/>
          <w:sz w:val="22"/>
          <w:szCs w:val="22"/>
          <w:lang w:eastAsia="en-US"/>
        </w:rPr>
        <w:t xml:space="preserve">De esta manera, se tiene previsto realizar la revisión y actualización de los componentes del Plan Estratégico Institucional una vez al año, durante el segundo trimestre de cada año; de forma tal que las </w:t>
      </w:r>
      <w:r w:rsidRPr="00D827B3">
        <w:rPr>
          <w:b/>
          <w:bCs/>
          <w:i/>
          <w:iCs/>
          <w:sz w:val="22"/>
          <w:szCs w:val="22"/>
          <w:lang w:eastAsia="en-US"/>
        </w:rPr>
        <w:t xml:space="preserve">oficinas y despachos puedan elaborar sus </w:t>
      </w:r>
      <w:proofErr w:type="spellStart"/>
      <w:r w:rsidRPr="00D827B3">
        <w:rPr>
          <w:b/>
          <w:bCs/>
          <w:i/>
          <w:iCs/>
          <w:sz w:val="22"/>
          <w:szCs w:val="22"/>
          <w:lang w:eastAsia="en-US"/>
        </w:rPr>
        <w:t>PAOs</w:t>
      </w:r>
      <w:proofErr w:type="spellEnd"/>
      <w:r w:rsidRPr="00D827B3">
        <w:rPr>
          <w:b/>
          <w:bCs/>
          <w:i/>
          <w:iCs/>
          <w:sz w:val="22"/>
          <w:szCs w:val="22"/>
          <w:lang w:eastAsia="en-US"/>
        </w:rPr>
        <w:t xml:space="preserve"> considerando los ajustes necesarios derivados del alineamiento estratégico</w:t>
      </w:r>
      <w:r w:rsidRPr="00D827B3">
        <w:rPr>
          <w:i/>
          <w:iCs/>
          <w:sz w:val="22"/>
          <w:szCs w:val="22"/>
          <w:lang w:eastAsia="en-US"/>
        </w:rPr>
        <w:t>; lo anterior conforme el procedimiento establecido en el Modelo de Gestión Estratégica.  Este alineamiento, deberá remitirse a Corte Plena para su aprobación final.”.</w:t>
      </w:r>
    </w:p>
    <w:p w14:paraId="15D77207" w14:textId="77777777" w:rsidR="00D827B3" w:rsidRPr="00D827B3" w:rsidRDefault="00D827B3" w:rsidP="00D827B3">
      <w:pPr>
        <w:suppressAutoHyphens w:val="0"/>
        <w:ind w:left="851" w:right="851" w:firstLine="709"/>
        <w:jc w:val="both"/>
        <w:rPr>
          <w:i/>
          <w:iCs/>
          <w:sz w:val="22"/>
          <w:szCs w:val="22"/>
          <w:lang w:eastAsia="en-US"/>
        </w:rPr>
      </w:pPr>
    </w:p>
    <w:p w14:paraId="7B64BFF5" w14:textId="77777777" w:rsidR="00D827B3" w:rsidRPr="00D827B3" w:rsidRDefault="00D827B3" w:rsidP="00D827B3">
      <w:pPr>
        <w:suppressAutoHyphens w:val="0"/>
        <w:ind w:left="851" w:right="851" w:firstLine="709"/>
        <w:jc w:val="both"/>
        <w:rPr>
          <w:sz w:val="22"/>
          <w:szCs w:val="22"/>
          <w:lang w:val="es-CR" w:eastAsia="en-US"/>
        </w:rPr>
      </w:pPr>
      <w:r w:rsidRPr="00D827B3">
        <w:rPr>
          <w:sz w:val="22"/>
          <w:szCs w:val="22"/>
          <w:lang w:val="es-CR" w:eastAsia="en-US"/>
        </w:rPr>
        <w:t xml:space="preserve">De esta manera, mediante oficio 1355-PLA-PE-2021 del pasado 01 de diciembre del 2021, se puso en conocimiento de los integrantes del Comité de Planeación Estratégica, el preliminar de este informe sobre la </w:t>
      </w:r>
      <w:r w:rsidRPr="00D827B3">
        <w:rPr>
          <w:b/>
          <w:bCs/>
          <w:sz w:val="22"/>
          <w:szCs w:val="22"/>
          <w:lang w:val="es-CR" w:eastAsia="en-US"/>
        </w:rPr>
        <w:t>propuesta para la gestión de los alineamientos estratégicos</w:t>
      </w:r>
      <w:r w:rsidRPr="00D827B3">
        <w:rPr>
          <w:sz w:val="22"/>
          <w:szCs w:val="22"/>
          <w:lang w:val="es-CR" w:eastAsia="en-US"/>
        </w:rPr>
        <w:t xml:space="preserve">, que hoy día se ejecuta por parte de la Dirección de Planificación; con el fin de que en el plazo establecido según acuerdo del Consejo Superior en la </w:t>
      </w:r>
      <w:r w:rsidRPr="00D827B3">
        <w:rPr>
          <w:sz w:val="22"/>
          <w:szCs w:val="22"/>
          <w:lang w:eastAsia="en-US"/>
        </w:rPr>
        <w:t xml:space="preserve">sesión </w:t>
      </w:r>
      <w:r w:rsidRPr="00D827B3">
        <w:rPr>
          <w:sz w:val="22"/>
          <w:szCs w:val="22"/>
          <w:lang w:val="es-CR" w:eastAsia="es-CR"/>
        </w:rPr>
        <w:t>44-2021, celebrada el 27 de mayo de 2021, artículo L</w:t>
      </w:r>
      <w:r w:rsidRPr="00D827B3">
        <w:rPr>
          <w:sz w:val="22"/>
          <w:szCs w:val="22"/>
          <w:lang w:val="es-CR" w:eastAsia="en-US"/>
        </w:rPr>
        <w:t>, emitieran sus observaciones.</w:t>
      </w:r>
    </w:p>
    <w:p w14:paraId="63250C45" w14:textId="77777777" w:rsidR="00D827B3" w:rsidRPr="00D827B3" w:rsidRDefault="00D827B3" w:rsidP="00D827B3">
      <w:pPr>
        <w:suppressAutoHyphens w:val="0"/>
        <w:ind w:left="851" w:right="851" w:firstLine="709"/>
        <w:jc w:val="both"/>
        <w:rPr>
          <w:sz w:val="22"/>
          <w:szCs w:val="22"/>
          <w:lang w:val="es-CR" w:eastAsia="en-US"/>
        </w:rPr>
      </w:pPr>
    </w:p>
    <w:p w14:paraId="1F548D0F" w14:textId="77777777" w:rsidR="00D827B3" w:rsidRPr="00D827B3" w:rsidRDefault="00D827B3" w:rsidP="00D827B3">
      <w:pPr>
        <w:suppressAutoHyphens w:val="0"/>
        <w:ind w:left="851" w:right="851" w:firstLine="709"/>
        <w:jc w:val="both"/>
        <w:rPr>
          <w:sz w:val="22"/>
          <w:szCs w:val="22"/>
          <w:lang w:val="es-CR" w:eastAsia="en-US"/>
        </w:rPr>
      </w:pPr>
      <w:r w:rsidRPr="00D827B3">
        <w:rPr>
          <w:sz w:val="22"/>
          <w:szCs w:val="22"/>
          <w:lang w:val="es-CR" w:eastAsia="en-US"/>
        </w:rPr>
        <w:t xml:space="preserve">Asimismo, el Comité de Planeación Estratégica en sesión 06-CPE-2021, del 15 de diciembre de 2021, artículo V, acordó con relación al oficio 1355-PLA-PE-2021: </w:t>
      </w:r>
    </w:p>
    <w:p w14:paraId="09B431B3" w14:textId="77777777" w:rsidR="00D827B3" w:rsidRPr="00D827B3" w:rsidRDefault="00D827B3" w:rsidP="00D827B3">
      <w:pPr>
        <w:suppressAutoHyphens w:val="0"/>
        <w:ind w:left="851" w:right="851" w:firstLine="709"/>
        <w:jc w:val="both"/>
        <w:rPr>
          <w:sz w:val="22"/>
          <w:szCs w:val="22"/>
          <w:lang w:val="es-CR" w:eastAsia="en-US"/>
        </w:rPr>
      </w:pPr>
    </w:p>
    <w:p w14:paraId="60E34ACF" w14:textId="77777777" w:rsidR="00D827B3" w:rsidRPr="00D827B3" w:rsidRDefault="00D827B3" w:rsidP="00D827B3">
      <w:pPr>
        <w:suppressAutoHyphens w:val="0"/>
        <w:ind w:left="851" w:right="851" w:firstLine="709"/>
        <w:jc w:val="both"/>
        <w:rPr>
          <w:i/>
          <w:iCs/>
          <w:sz w:val="22"/>
          <w:szCs w:val="22"/>
          <w:lang w:val="es-CR" w:eastAsia="en-US"/>
        </w:rPr>
      </w:pPr>
      <w:r w:rsidRPr="00D827B3">
        <w:rPr>
          <w:i/>
          <w:iCs/>
          <w:sz w:val="22"/>
          <w:szCs w:val="22"/>
          <w:lang w:val="es-CR" w:eastAsia="en-US"/>
        </w:rPr>
        <w:t xml:space="preserve">“El Comité de Planeación Estratégica acuerda extender prórroga al 7 de enero de 2022 para la emisión de observaciones, por parte de las instancias consultadas.”. </w:t>
      </w:r>
    </w:p>
    <w:p w14:paraId="0AB9DC8A" w14:textId="77777777" w:rsidR="00D827B3" w:rsidRPr="00D827B3" w:rsidRDefault="00D827B3" w:rsidP="00D827B3">
      <w:pPr>
        <w:suppressAutoHyphens w:val="0"/>
        <w:ind w:left="851" w:right="851" w:firstLine="709"/>
        <w:jc w:val="both"/>
        <w:rPr>
          <w:sz w:val="22"/>
          <w:szCs w:val="22"/>
          <w:lang w:val="es-CR" w:eastAsia="en-US"/>
        </w:rPr>
      </w:pPr>
    </w:p>
    <w:p w14:paraId="174E5ED8" w14:textId="77777777" w:rsidR="00D827B3" w:rsidRPr="00D827B3" w:rsidRDefault="00D827B3" w:rsidP="00D827B3">
      <w:pPr>
        <w:suppressAutoHyphens w:val="0"/>
        <w:ind w:left="851" w:right="851" w:firstLine="709"/>
        <w:jc w:val="both"/>
        <w:rPr>
          <w:sz w:val="22"/>
          <w:szCs w:val="22"/>
          <w:lang w:val="es-CR" w:eastAsia="en-US"/>
        </w:rPr>
      </w:pPr>
      <w:r w:rsidRPr="00D827B3">
        <w:rPr>
          <w:sz w:val="22"/>
          <w:szCs w:val="22"/>
          <w:lang w:val="es-CR" w:eastAsia="en-US"/>
        </w:rPr>
        <w:t xml:space="preserve">Al respecto, se recibieron respuestas de parte de la </w:t>
      </w:r>
      <w:bookmarkStart w:id="1" w:name="_Hlk94271413"/>
      <w:r w:rsidRPr="00D827B3">
        <w:rPr>
          <w:sz w:val="22"/>
          <w:szCs w:val="22"/>
          <w:lang w:val="es-CR" w:eastAsia="en-US"/>
        </w:rPr>
        <w:t xml:space="preserve">máster Dinorah Álvarez Acosta Integrante del Consejo Superior; la máster Roxana Arrieta Meléndez, Directora de Gestión </w:t>
      </w:r>
      <w:proofErr w:type="gramStart"/>
      <w:r w:rsidRPr="00D827B3">
        <w:rPr>
          <w:sz w:val="22"/>
          <w:szCs w:val="22"/>
          <w:lang w:val="es-CR" w:eastAsia="en-US"/>
        </w:rPr>
        <w:t>Humana;  y</w:t>
      </w:r>
      <w:proofErr w:type="gramEnd"/>
      <w:r w:rsidRPr="00D827B3">
        <w:rPr>
          <w:sz w:val="22"/>
          <w:szCs w:val="22"/>
          <w:lang w:val="es-CR" w:eastAsia="en-US"/>
        </w:rPr>
        <w:t xml:space="preserve"> la máster Ana Eugenia Romero Jenkins, Directora Ejecutiva; en el cual indicaron no tener observaciones.</w:t>
      </w:r>
      <w:bookmarkEnd w:id="1"/>
      <w:r w:rsidRPr="00D827B3">
        <w:rPr>
          <w:sz w:val="22"/>
          <w:szCs w:val="22"/>
          <w:lang w:val="es-CR" w:eastAsia="en-US"/>
        </w:rPr>
        <w:t xml:space="preserve"> Ver Anexo 1. </w:t>
      </w:r>
    </w:p>
    <w:p w14:paraId="34994D9A" w14:textId="77777777" w:rsidR="00D827B3" w:rsidRPr="00D827B3" w:rsidRDefault="00D827B3" w:rsidP="00D827B3">
      <w:pPr>
        <w:suppressAutoHyphens w:val="0"/>
        <w:ind w:left="851" w:right="851" w:firstLine="709"/>
        <w:jc w:val="both"/>
        <w:rPr>
          <w:sz w:val="22"/>
          <w:szCs w:val="22"/>
          <w:lang w:val="es-CR" w:eastAsia="en-US"/>
        </w:rPr>
      </w:pPr>
    </w:p>
    <w:p w14:paraId="7842CB35" w14:textId="77777777" w:rsidR="00D827B3" w:rsidRPr="00D827B3" w:rsidRDefault="00D827B3" w:rsidP="00D827B3">
      <w:pPr>
        <w:suppressAutoHyphens w:val="0"/>
        <w:ind w:left="851" w:right="851" w:firstLine="709"/>
        <w:jc w:val="both"/>
        <w:rPr>
          <w:sz w:val="22"/>
          <w:szCs w:val="22"/>
          <w:lang w:val="es-CR" w:eastAsia="en-US"/>
        </w:rPr>
      </w:pPr>
      <w:r w:rsidRPr="00D827B3">
        <w:rPr>
          <w:sz w:val="22"/>
          <w:szCs w:val="22"/>
          <w:lang w:val="es-CR" w:eastAsia="en-US"/>
        </w:rPr>
        <w:t xml:space="preserve">En virtud de lo anterior, se procede a remitir el informe definitivo para la valoración correspondiente en cuanto a la aprobación del procedimiento asociado al Subproceso de la Gestión de Solicitudes de Alineamiento Estratégico. </w:t>
      </w:r>
    </w:p>
    <w:p w14:paraId="3E7CEE14" w14:textId="77777777" w:rsidR="00D827B3" w:rsidRPr="00D827B3" w:rsidRDefault="00D827B3" w:rsidP="00D827B3">
      <w:pPr>
        <w:suppressAutoHyphens w:val="0"/>
        <w:ind w:left="851" w:right="851" w:firstLine="709"/>
        <w:jc w:val="center"/>
        <w:rPr>
          <w:b/>
          <w:bCs/>
          <w:sz w:val="22"/>
          <w:szCs w:val="22"/>
          <w:lang w:val="es-CR" w:eastAsia="en-US"/>
        </w:rPr>
      </w:pPr>
    </w:p>
    <w:p w14:paraId="59C63AA6" w14:textId="77777777" w:rsidR="00D827B3" w:rsidRPr="00D827B3" w:rsidRDefault="00D827B3" w:rsidP="00D827B3">
      <w:pPr>
        <w:suppressAutoHyphens w:val="0"/>
        <w:ind w:left="851" w:right="851" w:firstLine="709"/>
        <w:jc w:val="center"/>
        <w:rPr>
          <w:b/>
          <w:bCs/>
          <w:sz w:val="22"/>
          <w:szCs w:val="22"/>
          <w:lang w:val="es-CR" w:eastAsia="en-US"/>
        </w:rPr>
      </w:pPr>
      <w:r w:rsidRPr="00D827B3">
        <w:rPr>
          <w:b/>
          <w:bCs/>
          <w:sz w:val="22"/>
          <w:szCs w:val="22"/>
          <w:lang w:val="es-CR" w:eastAsia="en-US"/>
        </w:rPr>
        <w:t>SPRS-DPLA-0110-1799-01-</w:t>
      </w:r>
    </w:p>
    <w:p w14:paraId="24C4D3CA" w14:textId="77777777" w:rsidR="00D827B3" w:rsidRPr="00D827B3" w:rsidRDefault="00D827B3" w:rsidP="00D827B3">
      <w:pPr>
        <w:suppressAutoHyphens w:val="0"/>
        <w:ind w:left="851" w:right="851" w:firstLine="709"/>
        <w:jc w:val="center"/>
        <w:rPr>
          <w:b/>
          <w:bCs/>
          <w:sz w:val="22"/>
          <w:szCs w:val="22"/>
          <w:lang w:val="es-CR" w:eastAsia="en-US"/>
        </w:rPr>
      </w:pPr>
      <w:r w:rsidRPr="00D827B3">
        <w:rPr>
          <w:b/>
          <w:bCs/>
          <w:sz w:val="22"/>
          <w:szCs w:val="22"/>
          <w:lang w:val="es-CR" w:eastAsia="en-US"/>
        </w:rPr>
        <w:t>GESTIÓN DE SOLICITUDES DE ALINEAMIENTO ESTRATÉGICO</w:t>
      </w:r>
    </w:p>
    <w:tbl>
      <w:tblPr>
        <w:tblStyle w:val="Tablaconcuadrcula11"/>
        <w:tblW w:w="5000" w:type="pct"/>
        <w:jc w:val="center"/>
        <w:tblLook w:val="04A0" w:firstRow="1" w:lastRow="0" w:firstColumn="1" w:lastColumn="0" w:noHBand="0" w:noVBand="1"/>
      </w:tblPr>
      <w:tblGrid>
        <w:gridCol w:w="1099"/>
        <w:gridCol w:w="1539"/>
        <w:gridCol w:w="1607"/>
        <w:gridCol w:w="1336"/>
        <w:gridCol w:w="1233"/>
        <w:gridCol w:w="1358"/>
        <w:gridCol w:w="1223"/>
      </w:tblGrid>
      <w:tr w:rsidR="00D827B3" w:rsidRPr="00D827B3" w14:paraId="77B957C5" w14:textId="77777777" w:rsidTr="001A347E">
        <w:trPr>
          <w:trHeight w:val="661"/>
          <w:jc w:val="center"/>
        </w:trPr>
        <w:tc>
          <w:tcPr>
            <w:tcW w:w="5000" w:type="pct"/>
            <w:gridSpan w:val="7"/>
            <w:shd w:val="clear" w:color="auto" w:fill="D9D9D9"/>
          </w:tcPr>
          <w:p w14:paraId="2DFDABEC" w14:textId="77777777" w:rsidR="00D827B3" w:rsidRPr="00D827B3" w:rsidRDefault="00D827B3" w:rsidP="00D827B3">
            <w:pPr>
              <w:keepNext/>
              <w:keepLines/>
              <w:numPr>
                <w:ilvl w:val="0"/>
                <w:numId w:val="126"/>
              </w:numPr>
              <w:suppressAutoHyphens w:val="0"/>
              <w:jc w:val="center"/>
              <w:outlineLvl w:val="0"/>
              <w:rPr>
                <w:rFonts w:ascii="Times New Roman" w:hAnsi="Times New Roman"/>
                <w:bCs/>
                <w:snapToGrid w:val="0"/>
                <w:sz w:val="22"/>
                <w:szCs w:val="22"/>
                <w:lang w:eastAsia="es-ES"/>
              </w:rPr>
            </w:pPr>
            <w:bookmarkStart w:id="2" w:name="_Toc89252570"/>
            <w:bookmarkStart w:id="3" w:name="_Toc95756040"/>
            <w:bookmarkStart w:id="4" w:name="_Toc96002944"/>
            <w:bookmarkStart w:id="5" w:name="_Toc74834088"/>
            <w:bookmarkStart w:id="6" w:name="_Toc77321023"/>
            <w:bookmarkStart w:id="7" w:name="_Hlk72762852"/>
            <w:r w:rsidRPr="00D827B3">
              <w:rPr>
                <w:rFonts w:ascii="Times New Roman" w:hAnsi="Times New Roman"/>
                <w:b/>
                <w:bCs/>
                <w:snapToGrid w:val="0"/>
                <w:sz w:val="22"/>
                <w:szCs w:val="22"/>
                <w:lang w:eastAsia="es-ES"/>
              </w:rPr>
              <w:t>Control de versiones</w:t>
            </w:r>
            <w:bookmarkEnd w:id="2"/>
            <w:bookmarkEnd w:id="3"/>
            <w:bookmarkEnd w:id="4"/>
            <w:r w:rsidRPr="00D827B3">
              <w:rPr>
                <w:rFonts w:ascii="Times New Roman" w:hAnsi="Times New Roman"/>
                <w:b/>
                <w:bCs/>
                <w:snapToGrid w:val="0"/>
                <w:sz w:val="22"/>
                <w:szCs w:val="22"/>
                <w:lang w:eastAsia="es-ES"/>
              </w:rPr>
              <w:t xml:space="preserve"> </w:t>
            </w:r>
            <w:bookmarkEnd w:id="5"/>
            <w:bookmarkEnd w:id="6"/>
          </w:p>
        </w:tc>
      </w:tr>
      <w:tr w:rsidR="00D827B3" w:rsidRPr="00D827B3" w14:paraId="6B12DB46" w14:textId="77777777" w:rsidTr="001A347E">
        <w:trPr>
          <w:trHeight w:val="614"/>
          <w:jc w:val="center"/>
        </w:trPr>
        <w:tc>
          <w:tcPr>
            <w:tcW w:w="583" w:type="pct"/>
            <w:shd w:val="clear" w:color="auto" w:fill="F2F2F2"/>
          </w:tcPr>
          <w:p w14:paraId="1C691502"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N° Versión</w:t>
            </w:r>
          </w:p>
        </w:tc>
        <w:tc>
          <w:tcPr>
            <w:tcW w:w="843" w:type="pct"/>
            <w:shd w:val="clear" w:color="auto" w:fill="F2F2F2"/>
          </w:tcPr>
          <w:p w14:paraId="0657ABB2" w14:textId="77777777" w:rsidR="00D827B3" w:rsidRPr="00D827B3" w:rsidRDefault="00D827B3" w:rsidP="00D827B3">
            <w:pPr>
              <w:suppressAutoHyphens w:val="0"/>
              <w:ind w:left="221"/>
              <w:jc w:val="center"/>
              <w:rPr>
                <w:rFonts w:ascii="Times New Roman" w:hAnsi="Times New Roman"/>
                <w:b/>
                <w:i/>
                <w:iCs/>
                <w:noProof/>
                <w:snapToGrid w:val="0"/>
                <w:sz w:val="22"/>
                <w:szCs w:val="22"/>
                <w:lang w:eastAsia="es-ES"/>
              </w:rPr>
            </w:pPr>
            <w:r w:rsidRPr="00D827B3">
              <w:rPr>
                <w:rFonts w:ascii="Times New Roman" w:hAnsi="Times New Roman"/>
                <w:b/>
                <w:i/>
                <w:iCs/>
                <w:noProof/>
                <w:snapToGrid w:val="0"/>
                <w:sz w:val="22"/>
                <w:szCs w:val="22"/>
                <w:lang w:eastAsia="es-ES"/>
              </w:rPr>
              <w:t>Detalle de actualización</w:t>
            </w:r>
          </w:p>
        </w:tc>
        <w:tc>
          <w:tcPr>
            <w:tcW w:w="860" w:type="pct"/>
            <w:shd w:val="clear" w:color="auto" w:fill="F2F2F2"/>
          </w:tcPr>
          <w:p w14:paraId="6C628774"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Fecha de Actualización</w:t>
            </w:r>
          </w:p>
        </w:tc>
        <w:tc>
          <w:tcPr>
            <w:tcW w:w="692" w:type="pct"/>
            <w:shd w:val="clear" w:color="auto" w:fill="F2F2F2"/>
          </w:tcPr>
          <w:p w14:paraId="1AF36B66"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Elaborado por:</w:t>
            </w:r>
          </w:p>
        </w:tc>
        <w:tc>
          <w:tcPr>
            <w:tcW w:w="646" w:type="pct"/>
            <w:shd w:val="clear" w:color="auto" w:fill="F2F2F2"/>
          </w:tcPr>
          <w:p w14:paraId="076BDE15"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 xml:space="preserve">Revisado por: </w:t>
            </w:r>
          </w:p>
        </w:tc>
        <w:tc>
          <w:tcPr>
            <w:tcW w:w="687" w:type="pct"/>
            <w:shd w:val="clear" w:color="auto" w:fill="F2F2F2"/>
          </w:tcPr>
          <w:p w14:paraId="50337DAE"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 xml:space="preserve">Aprobado </w:t>
            </w:r>
          </w:p>
          <w:p w14:paraId="626962F0"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por:</w:t>
            </w:r>
          </w:p>
        </w:tc>
        <w:tc>
          <w:tcPr>
            <w:tcW w:w="690" w:type="pct"/>
            <w:shd w:val="clear" w:color="auto" w:fill="F2F2F2"/>
          </w:tcPr>
          <w:p w14:paraId="00056C28" w14:textId="77777777" w:rsidR="00D827B3" w:rsidRPr="00D827B3" w:rsidRDefault="00D827B3" w:rsidP="00D827B3">
            <w:pPr>
              <w:suppressAutoHyphens w:val="0"/>
              <w:ind w:left="221"/>
              <w:jc w:val="center"/>
              <w:rPr>
                <w:rFonts w:ascii="Times New Roman" w:hAnsi="Times New Roman"/>
                <w:b/>
                <w:noProof/>
                <w:snapToGrid w:val="0"/>
                <w:sz w:val="22"/>
                <w:szCs w:val="22"/>
                <w:lang w:eastAsia="es-ES"/>
              </w:rPr>
            </w:pPr>
            <w:r w:rsidRPr="00D827B3">
              <w:rPr>
                <w:rFonts w:ascii="Times New Roman" w:hAnsi="Times New Roman"/>
                <w:b/>
                <w:noProof/>
                <w:snapToGrid w:val="0"/>
                <w:sz w:val="22"/>
                <w:szCs w:val="22"/>
                <w:lang w:eastAsia="es-ES"/>
              </w:rPr>
              <w:t>Adjuntos</w:t>
            </w:r>
          </w:p>
        </w:tc>
      </w:tr>
      <w:tr w:rsidR="00D827B3" w:rsidRPr="00D827B3" w14:paraId="5CD156F4" w14:textId="77777777" w:rsidTr="001A347E">
        <w:trPr>
          <w:trHeight w:val="614"/>
          <w:jc w:val="center"/>
        </w:trPr>
        <w:tc>
          <w:tcPr>
            <w:tcW w:w="583" w:type="pct"/>
            <w:shd w:val="clear" w:color="auto" w:fill="auto"/>
            <w:vAlign w:val="center"/>
          </w:tcPr>
          <w:p w14:paraId="4D72F4BB"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t>1.0</w:t>
            </w:r>
          </w:p>
        </w:tc>
        <w:tc>
          <w:tcPr>
            <w:tcW w:w="843" w:type="pct"/>
            <w:shd w:val="clear" w:color="auto" w:fill="auto"/>
            <w:vAlign w:val="center"/>
          </w:tcPr>
          <w:p w14:paraId="4E238BB7"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t>Documento inicial</w:t>
            </w:r>
          </w:p>
        </w:tc>
        <w:tc>
          <w:tcPr>
            <w:tcW w:w="860" w:type="pct"/>
            <w:shd w:val="clear" w:color="auto" w:fill="auto"/>
            <w:vAlign w:val="center"/>
          </w:tcPr>
          <w:p w14:paraId="44B3C6E5"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t>01/12/2021</w:t>
            </w:r>
          </w:p>
        </w:tc>
        <w:tc>
          <w:tcPr>
            <w:tcW w:w="692" w:type="pct"/>
            <w:shd w:val="clear" w:color="auto" w:fill="auto"/>
            <w:vAlign w:val="center"/>
          </w:tcPr>
          <w:p w14:paraId="3FE209BF"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t xml:space="preserve">Licda. Graciela Lugo Solano Ing. Allan </w:t>
            </w:r>
            <w:r w:rsidRPr="00D827B3">
              <w:rPr>
                <w:rFonts w:ascii="Times New Roman" w:hAnsi="Times New Roman"/>
                <w:bCs/>
                <w:i/>
                <w:iCs/>
                <w:noProof/>
                <w:snapToGrid w:val="0"/>
                <w:sz w:val="22"/>
                <w:szCs w:val="22"/>
                <w:lang w:eastAsia="es-ES"/>
              </w:rPr>
              <w:lastRenderedPageBreak/>
              <w:t>Pow Hing Cordero</w:t>
            </w:r>
          </w:p>
        </w:tc>
        <w:tc>
          <w:tcPr>
            <w:tcW w:w="646" w:type="pct"/>
            <w:shd w:val="clear" w:color="auto" w:fill="auto"/>
            <w:vAlign w:val="center"/>
          </w:tcPr>
          <w:p w14:paraId="5D9CB3F6"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lastRenderedPageBreak/>
              <w:t>Licda. Nacira Valverde Bermúdez</w:t>
            </w:r>
          </w:p>
        </w:tc>
        <w:tc>
          <w:tcPr>
            <w:tcW w:w="687" w:type="pct"/>
            <w:shd w:val="clear" w:color="auto" w:fill="auto"/>
            <w:vAlign w:val="center"/>
          </w:tcPr>
          <w:p w14:paraId="5FB0BA75"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r w:rsidRPr="00D827B3">
              <w:rPr>
                <w:rFonts w:ascii="Times New Roman" w:hAnsi="Times New Roman"/>
                <w:bCs/>
                <w:i/>
                <w:iCs/>
                <w:noProof/>
                <w:snapToGrid w:val="0"/>
                <w:sz w:val="22"/>
                <w:szCs w:val="22"/>
                <w:lang w:eastAsia="es-ES"/>
              </w:rPr>
              <w:t>Comité de Planeación Estratégica (Pendient</w:t>
            </w:r>
            <w:r w:rsidRPr="00D827B3">
              <w:rPr>
                <w:rFonts w:ascii="Times New Roman" w:hAnsi="Times New Roman"/>
                <w:bCs/>
                <w:i/>
                <w:iCs/>
                <w:noProof/>
                <w:snapToGrid w:val="0"/>
                <w:sz w:val="22"/>
                <w:szCs w:val="22"/>
                <w:lang w:eastAsia="es-ES"/>
              </w:rPr>
              <w:lastRenderedPageBreak/>
              <w:t>e de conoce)</w:t>
            </w:r>
          </w:p>
        </w:tc>
        <w:tc>
          <w:tcPr>
            <w:tcW w:w="690" w:type="pct"/>
            <w:shd w:val="clear" w:color="auto" w:fill="auto"/>
            <w:vAlign w:val="center"/>
          </w:tcPr>
          <w:p w14:paraId="19EE0F65" w14:textId="77777777" w:rsidR="00D827B3" w:rsidRPr="00D827B3" w:rsidRDefault="00D827B3" w:rsidP="00D827B3">
            <w:pPr>
              <w:suppressAutoHyphens w:val="0"/>
              <w:ind w:left="221"/>
              <w:jc w:val="center"/>
              <w:rPr>
                <w:rFonts w:ascii="Times New Roman" w:hAnsi="Times New Roman"/>
                <w:bCs/>
                <w:i/>
                <w:iCs/>
                <w:noProof/>
                <w:snapToGrid w:val="0"/>
                <w:sz w:val="22"/>
                <w:szCs w:val="22"/>
                <w:lang w:eastAsia="es-ES"/>
              </w:rPr>
            </w:pPr>
          </w:p>
        </w:tc>
      </w:tr>
      <w:tr w:rsidR="00D827B3" w:rsidRPr="00D827B3" w14:paraId="0B1E3B45" w14:textId="77777777" w:rsidTr="001A347E">
        <w:trPr>
          <w:trHeight w:val="614"/>
          <w:jc w:val="center"/>
        </w:trPr>
        <w:tc>
          <w:tcPr>
            <w:tcW w:w="583" w:type="pct"/>
            <w:shd w:val="clear" w:color="auto" w:fill="auto"/>
          </w:tcPr>
          <w:p w14:paraId="6601B07F"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843" w:type="pct"/>
            <w:shd w:val="clear" w:color="auto" w:fill="auto"/>
          </w:tcPr>
          <w:p w14:paraId="69DCDA84"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860" w:type="pct"/>
            <w:shd w:val="clear" w:color="auto" w:fill="auto"/>
          </w:tcPr>
          <w:p w14:paraId="58B7E6BF"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692" w:type="pct"/>
            <w:shd w:val="clear" w:color="auto" w:fill="auto"/>
          </w:tcPr>
          <w:p w14:paraId="221C23B3"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646" w:type="pct"/>
            <w:shd w:val="clear" w:color="auto" w:fill="auto"/>
          </w:tcPr>
          <w:p w14:paraId="2C925C9A"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687" w:type="pct"/>
            <w:shd w:val="clear" w:color="auto" w:fill="auto"/>
          </w:tcPr>
          <w:p w14:paraId="05F739DE"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c>
          <w:tcPr>
            <w:tcW w:w="690" w:type="pct"/>
            <w:shd w:val="clear" w:color="auto" w:fill="auto"/>
          </w:tcPr>
          <w:p w14:paraId="7873BCC8" w14:textId="77777777" w:rsidR="00D827B3" w:rsidRPr="00D827B3" w:rsidRDefault="00D827B3" w:rsidP="00D827B3">
            <w:pPr>
              <w:suppressAutoHyphens w:val="0"/>
              <w:ind w:left="221"/>
              <w:jc w:val="center"/>
              <w:rPr>
                <w:rFonts w:ascii="Times New Roman" w:hAnsi="Times New Roman"/>
                <w:bCs/>
                <w:noProof/>
                <w:snapToGrid w:val="0"/>
                <w:sz w:val="22"/>
                <w:szCs w:val="22"/>
                <w:lang w:eastAsia="es-ES"/>
              </w:rPr>
            </w:pPr>
          </w:p>
        </w:tc>
      </w:tr>
      <w:bookmarkEnd w:id="7"/>
    </w:tbl>
    <w:p w14:paraId="21D48E39" w14:textId="77777777" w:rsidR="00D827B3" w:rsidRPr="00D827B3" w:rsidRDefault="00D827B3" w:rsidP="00D827B3">
      <w:pPr>
        <w:suppressAutoHyphens w:val="0"/>
        <w:jc w:val="both"/>
        <w:rPr>
          <w:b/>
          <w:snapToGrid w:val="0"/>
          <w:sz w:val="22"/>
          <w:szCs w:val="22"/>
          <w:lang w:val="es-CR" w:eastAsia="es-ES"/>
        </w:rPr>
      </w:pPr>
    </w:p>
    <w:p w14:paraId="7260F779" w14:textId="77777777" w:rsidR="00D827B3" w:rsidRPr="00D827B3" w:rsidRDefault="00D827B3" w:rsidP="00D827B3">
      <w:pPr>
        <w:suppressAutoHyphens w:val="0"/>
        <w:ind w:left="851" w:right="851" w:firstLine="709"/>
        <w:jc w:val="both"/>
        <w:rPr>
          <w:b/>
          <w:snapToGrid w:val="0"/>
          <w:sz w:val="22"/>
          <w:szCs w:val="22"/>
          <w:lang w:val="es-CR" w:eastAsia="es-ES"/>
        </w:rPr>
      </w:pPr>
    </w:p>
    <w:tbl>
      <w:tblPr>
        <w:tblStyle w:val="Tablaconcuadrcula11"/>
        <w:tblpPr w:leftFromText="141" w:rightFromText="141" w:vertAnchor="page" w:horzAnchor="margin" w:tblpXSpec="center" w:tblpY="7070"/>
        <w:tblW w:w="5000" w:type="pct"/>
        <w:tblLook w:val="04A0" w:firstRow="1" w:lastRow="0" w:firstColumn="1" w:lastColumn="0" w:noHBand="0" w:noVBand="1"/>
      </w:tblPr>
      <w:tblGrid>
        <w:gridCol w:w="3495"/>
        <w:gridCol w:w="5900"/>
      </w:tblGrid>
      <w:tr w:rsidR="00D827B3" w:rsidRPr="00D827B3" w14:paraId="3E1FAB5B" w14:textId="77777777" w:rsidTr="001A347E">
        <w:trPr>
          <w:trHeight w:val="533"/>
        </w:trPr>
        <w:tc>
          <w:tcPr>
            <w:tcW w:w="5000" w:type="pct"/>
            <w:gridSpan w:val="2"/>
            <w:shd w:val="clear" w:color="auto" w:fill="D9D9D9"/>
          </w:tcPr>
          <w:p w14:paraId="0D02C3D6" w14:textId="77777777" w:rsidR="00D827B3" w:rsidRPr="00D827B3" w:rsidRDefault="00D827B3" w:rsidP="00D827B3">
            <w:pPr>
              <w:keepNext/>
              <w:numPr>
                <w:ilvl w:val="0"/>
                <w:numId w:val="126"/>
              </w:numPr>
              <w:suppressAutoHyphens w:val="0"/>
              <w:ind w:left="851" w:right="851" w:firstLine="709"/>
              <w:contextualSpacing/>
              <w:jc w:val="center"/>
              <w:outlineLvl w:val="0"/>
              <w:rPr>
                <w:rFonts w:ascii="Times New Roman" w:hAnsi="Times New Roman"/>
                <w:b/>
                <w:snapToGrid w:val="0"/>
                <w:sz w:val="22"/>
                <w:szCs w:val="22"/>
                <w:lang w:eastAsia="es-ES"/>
              </w:rPr>
            </w:pPr>
            <w:bookmarkStart w:id="8" w:name="_Toc95756041"/>
            <w:bookmarkStart w:id="9" w:name="_Toc96002945"/>
            <w:bookmarkStart w:id="10" w:name="_Toc89252572"/>
            <w:r w:rsidRPr="00D827B3">
              <w:rPr>
                <w:rFonts w:ascii="Times New Roman" w:hAnsi="Times New Roman"/>
                <w:b/>
                <w:snapToGrid w:val="0"/>
                <w:sz w:val="22"/>
                <w:szCs w:val="22"/>
                <w:lang w:eastAsia="es-ES"/>
              </w:rPr>
              <w:t>Datos Generales del Subproceso</w:t>
            </w:r>
            <w:bookmarkEnd w:id="8"/>
            <w:bookmarkEnd w:id="9"/>
          </w:p>
        </w:tc>
      </w:tr>
      <w:tr w:rsidR="00D827B3" w:rsidRPr="00D827B3" w14:paraId="2DE750F5" w14:textId="77777777" w:rsidTr="001A347E">
        <w:trPr>
          <w:trHeight w:val="262"/>
        </w:trPr>
        <w:tc>
          <w:tcPr>
            <w:tcW w:w="1681" w:type="pct"/>
            <w:vMerge w:val="restart"/>
            <w:shd w:val="clear" w:color="auto" w:fill="D9D9D9"/>
            <w:vAlign w:val="center"/>
          </w:tcPr>
          <w:p w14:paraId="5FFD87E4"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p w14:paraId="1C531AC2"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r w:rsidRPr="00D827B3">
              <w:rPr>
                <w:rFonts w:ascii="Times New Roman" w:hAnsi="Times New Roman"/>
                <w:b/>
                <w:snapToGrid w:val="0"/>
                <w:sz w:val="22"/>
                <w:szCs w:val="22"/>
                <w:lang w:eastAsia="es-ES"/>
              </w:rPr>
              <w:t>Entradas del</w:t>
            </w:r>
            <w:r w:rsidRPr="00D827B3">
              <w:rPr>
                <w:rFonts w:ascii="Times New Roman" w:hAnsi="Times New Roman"/>
                <w:snapToGrid w:val="0"/>
                <w:sz w:val="22"/>
                <w:szCs w:val="22"/>
                <w:lang w:eastAsia="es-ES"/>
              </w:rPr>
              <w:t xml:space="preserve"> </w:t>
            </w:r>
            <w:r w:rsidRPr="00D827B3">
              <w:rPr>
                <w:rFonts w:ascii="Times New Roman" w:hAnsi="Times New Roman"/>
                <w:b/>
                <w:snapToGrid w:val="0"/>
                <w:sz w:val="22"/>
                <w:szCs w:val="22"/>
                <w:lang w:eastAsia="es-ES"/>
              </w:rPr>
              <w:t>Subproceso</w:t>
            </w:r>
          </w:p>
        </w:tc>
        <w:tc>
          <w:tcPr>
            <w:tcW w:w="3319" w:type="pct"/>
            <w:shd w:val="clear" w:color="auto" w:fill="auto"/>
          </w:tcPr>
          <w:p w14:paraId="3B3651A7" w14:textId="77777777" w:rsidR="00D827B3" w:rsidRPr="00D827B3" w:rsidRDefault="00D827B3" w:rsidP="00D827B3">
            <w:pPr>
              <w:suppressAutoHyphens w:val="0"/>
              <w:ind w:left="851" w:right="851" w:firstLine="709"/>
              <w:jc w:val="center"/>
              <w:rPr>
                <w:rFonts w:ascii="Times New Roman" w:hAnsi="Times New Roman"/>
                <w:b/>
                <w:bCs/>
                <w:snapToGrid w:val="0"/>
                <w:sz w:val="22"/>
                <w:szCs w:val="22"/>
                <w:lang w:eastAsia="es-ES"/>
              </w:rPr>
            </w:pPr>
            <w:r w:rsidRPr="00D827B3">
              <w:rPr>
                <w:rFonts w:ascii="Times New Roman" w:hAnsi="Times New Roman"/>
                <w:b/>
                <w:bCs/>
                <w:snapToGrid w:val="0"/>
                <w:sz w:val="22"/>
                <w:szCs w:val="22"/>
                <w:lang w:eastAsia="es-ES"/>
              </w:rPr>
              <w:t>Entradas</w:t>
            </w:r>
          </w:p>
        </w:tc>
      </w:tr>
      <w:tr w:rsidR="00D827B3" w:rsidRPr="00D827B3" w14:paraId="021BB878" w14:textId="77777777" w:rsidTr="001A347E">
        <w:trPr>
          <w:trHeight w:val="262"/>
        </w:trPr>
        <w:tc>
          <w:tcPr>
            <w:tcW w:w="1681" w:type="pct"/>
            <w:vMerge/>
            <w:shd w:val="clear" w:color="auto" w:fill="D9D9D9"/>
            <w:vAlign w:val="center"/>
          </w:tcPr>
          <w:p w14:paraId="1E197FF4"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534E68EA"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r w:rsidRPr="00D827B3">
              <w:rPr>
                <w:rFonts w:ascii="Times New Roman" w:hAnsi="Times New Roman"/>
                <w:snapToGrid w:val="0"/>
                <w:sz w:val="22"/>
                <w:szCs w:val="22"/>
                <w:lang w:eastAsia="es-ES"/>
              </w:rPr>
              <w:t>Solicitudes de alineamiento estratégico</w:t>
            </w:r>
          </w:p>
        </w:tc>
      </w:tr>
      <w:tr w:rsidR="00D827B3" w:rsidRPr="00D827B3" w14:paraId="10A7D821" w14:textId="77777777" w:rsidTr="001A347E">
        <w:trPr>
          <w:trHeight w:val="251"/>
        </w:trPr>
        <w:tc>
          <w:tcPr>
            <w:tcW w:w="1681" w:type="pct"/>
            <w:vMerge/>
            <w:shd w:val="clear" w:color="auto" w:fill="D9D9D9"/>
            <w:vAlign w:val="center"/>
          </w:tcPr>
          <w:p w14:paraId="7C8096CD"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6C26340D"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2DC0035E" w14:textId="77777777" w:rsidTr="001A347E">
        <w:trPr>
          <w:trHeight w:val="262"/>
        </w:trPr>
        <w:tc>
          <w:tcPr>
            <w:tcW w:w="1681" w:type="pct"/>
            <w:vMerge/>
            <w:shd w:val="clear" w:color="auto" w:fill="D9D9D9"/>
            <w:vAlign w:val="center"/>
          </w:tcPr>
          <w:p w14:paraId="121B11C7"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3385C414"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29AADAC5" w14:textId="77777777" w:rsidTr="001A347E">
        <w:trPr>
          <w:trHeight w:val="262"/>
        </w:trPr>
        <w:tc>
          <w:tcPr>
            <w:tcW w:w="1681" w:type="pct"/>
            <w:vMerge/>
            <w:shd w:val="clear" w:color="auto" w:fill="D9D9D9"/>
            <w:vAlign w:val="center"/>
          </w:tcPr>
          <w:p w14:paraId="3A4DE74B"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59AF0049"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00B7ABCF" w14:textId="77777777" w:rsidTr="001A347E">
        <w:trPr>
          <w:trHeight w:val="262"/>
        </w:trPr>
        <w:tc>
          <w:tcPr>
            <w:tcW w:w="1681" w:type="pct"/>
            <w:vMerge/>
            <w:shd w:val="clear" w:color="auto" w:fill="D9D9D9"/>
            <w:vAlign w:val="center"/>
          </w:tcPr>
          <w:p w14:paraId="1A9780C6"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4133F12A"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3E77F88F" w14:textId="77777777" w:rsidTr="001A347E">
        <w:trPr>
          <w:trHeight w:val="262"/>
        </w:trPr>
        <w:tc>
          <w:tcPr>
            <w:tcW w:w="1681" w:type="pct"/>
            <w:vMerge/>
            <w:shd w:val="clear" w:color="auto" w:fill="D9D9D9"/>
            <w:vAlign w:val="center"/>
          </w:tcPr>
          <w:p w14:paraId="2146C59F"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tc>
        <w:tc>
          <w:tcPr>
            <w:tcW w:w="3319" w:type="pct"/>
            <w:shd w:val="clear" w:color="auto" w:fill="auto"/>
          </w:tcPr>
          <w:p w14:paraId="331818B0"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35E71B01" w14:textId="77777777" w:rsidTr="001A347E">
        <w:trPr>
          <w:trHeight w:val="197"/>
        </w:trPr>
        <w:tc>
          <w:tcPr>
            <w:tcW w:w="1681" w:type="pct"/>
            <w:vMerge w:val="restart"/>
            <w:shd w:val="clear" w:color="auto" w:fill="D9D9D9"/>
            <w:vAlign w:val="center"/>
          </w:tcPr>
          <w:p w14:paraId="1B875543"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p>
          <w:p w14:paraId="31DEBC43" w14:textId="77777777" w:rsidR="00D827B3" w:rsidRPr="00D827B3" w:rsidRDefault="00D827B3" w:rsidP="00D827B3">
            <w:pPr>
              <w:suppressAutoHyphens w:val="0"/>
              <w:ind w:left="851" w:right="851" w:firstLine="709"/>
              <w:rPr>
                <w:rFonts w:ascii="Times New Roman" w:hAnsi="Times New Roman"/>
                <w:b/>
                <w:snapToGrid w:val="0"/>
                <w:sz w:val="22"/>
                <w:szCs w:val="22"/>
                <w:lang w:eastAsia="es-ES"/>
              </w:rPr>
            </w:pPr>
            <w:r w:rsidRPr="00D827B3">
              <w:rPr>
                <w:rFonts w:ascii="Times New Roman" w:hAnsi="Times New Roman"/>
                <w:b/>
                <w:snapToGrid w:val="0"/>
                <w:sz w:val="22"/>
                <w:szCs w:val="22"/>
                <w:lang w:eastAsia="es-ES"/>
              </w:rPr>
              <w:t>Salidas del</w:t>
            </w:r>
            <w:r w:rsidRPr="00D827B3">
              <w:rPr>
                <w:rFonts w:ascii="Times New Roman" w:hAnsi="Times New Roman"/>
                <w:snapToGrid w:val="0"/>
                <w:sz w:val="22"/>
                <w:szCs w:val="22"/>
                <w:lang w:eastAsia="es-ES"/>
              </w:rPr>
              <w:t xml:space="preserve"> </w:t>
            </w:r>
            <w:r w:rsidRPr="00D827B3">
              <w:rPr>
                <w:rFonts w:ascii="Times New Roman" w:hAnsi="Times New Roman"/>
                <w:b/>
                <w:snapToGrid w:val="0"/>
                <w:sz w:val="22"/>
                <w:szCs w:val="22"/>
                <w:lang w:eastAsia="es-ES"/>
              </w:rPr>
              <w:t>Subproceso</w:t>
            </w:r>
          </w:p>
        </w:tc>
        <w:tc>
          <w:tcPr>
            <w:tcW w:w="3319" w:type="pct"/>
            <w:shd w:val="clear" w:color="auto" w:fill="auto"/>
          </w:tcPr>
          <w:p w14:paraId="48E936C6" w14:textId="77777777" w:rsidR="00D827B3" w:rsidRPr="00D827B3" w:rsidRDefault="00D827B3" w:rsidP="00D827B3">
            <w:pPr>
              <w:suppressAutoHyphens w:val="0"/>
              <w:ind w:left="851" w:right="851" w:firstLine="709"/>
              <w:jc w:val="center"/>
              <w:rPr>
                <w:rFonts w:ascii="Times New Roman" w:hAnsi="Times New Roman"/>
                <w:b/>
                <w:bCs/>
                <w:snapToGrid w:val="0"/>
                <w:sz w:val="22"/>
                <w:szCs w:val="22"/>
                <w:lang w:eastAsia="es-ES"/>
              </w:rPr>
            </w:pPr>
            <w:r w:rsidRPr="00D827B3">
              <w:rPr>
                <w:rFonts w:ascii="Times New Roman" w:hAnsi="Times New Roman"/>
                <w:b/>
                <w:bCs/>
                <w:snapToGrid w:val="0"/>
                <w:sz w:val="22"/>
                <w:szCs w:val="22"/>
                <w:lang w:eastAsia="es-ES"/>
              </w:rPr>
              <w:t>Salidas</w:t>
            </w:r>
          </w:p>
        </w:tc>
      </w:tr>
      <w:tr w:rsidR="00D827B3" w:rsidRPr="00D827B3" w14:paraId="2D212EBA" w14:textId="77777777" w:rsidTr="001A347E">
        <w:trPr>
          <w:trHeight w:val="213"/>
        </w:trPr>
        <w:tc>
          <w:tcPr>
            <w:tcW w:w="1681" w:type="pct"/>
            <w:vMerge/>
            <w:shd w:val="clear" w:color="auto" w:fill="D9D9D9"/>
          </w:tcPr>
          <w:p w14:paraId="7E03BD5E"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7084AE57"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r w:rsidRPr="00D827B3">
              <w:rPr>
                <w:rFonts w:ascii="Times New Roman" w:hAnsi="Times New Roman"/>
                <w:snapToGrid w:val="0"/>
                <w:sz w:val="22"/>
                <w:szCs w:val="22"/>
                <w:lang w:eastAsia="es-ES"/>
              </w:rPr>
              <w:t xml:space="preserve">Solicitud de alineamiento estratégico atendida. </w:t>
            </w:r>
          </w:p>
        </w:tc>
      </w:tr>
      <w:tr w:rsidR="00D827B3" w:rsidRPr="00D827B3" w14:paraId="7B992E73" w14:textId="77777777" w:rsidTr="001A347E">
        <w:trPr>
          <w:trHeight w:val="213"/>
        </w:trPr>
        <w:tc>
          <w:tcPr>
            <w:tcW w:w="1681" w:type="pct"/>
            <w:vMerge/>
            <w:shd w:val="clear" w:color="auto" w:fill="D9D9D9"/>
          </w:tcPr>
          <w:p w14:paraId="6D0A576E"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40C90A33"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r w:rsidRPr="00D827B3">
              <w:rPr>
                <w:rFonts w:ascii="Times New Roman" w:hAnsi="Times New Roman"/>
                <w:snapToGrid w:val="0"/>
                <w:sz w:val="22"/>
                <w:szCs w:val="22"/>
                <w:lang w:eastAsia="es-ES"/>
              </w:rPr>
              <w:t xml:space="preserve">Propuesta de oficio relacionada con el alineamiento estratégico solicitado. </w:t>
            </w:r>
          </w:p>
        </w:tc>
      </w:tr>
      <w:tr w:rsidR="00D827B3" w:rsidRPr="00D827B3" w14:paraId="62FEF34C" w14:textId="77777777" w:rsidTr="001A347E">
        <w:trPr>
          <w:trHeight w:val="213"/>
        </w:trPr>
        <w:tc>
          <w:tcPr>
            <w:tcW w:w="1681" w:type="pct"/>
            <w:vMerge/>
            <w:shd w:val="clear" w:color="auto" w:fill="D9D9D9"/>
          </w:tcPr>
          <w:p w14:paraId="3E97EF82"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65CC2045"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r w:rsidRPr="00D827B3">
              <w:rPr>
                <w:rFonts w:ascii="Times New Roman" w:hAnsi="Times New Roman"/>
                <w:snapToGrid w:val="0"/>
                <w:sz w:val="22"/>
                <w:szCs w:val="22"/>
                <w:lang w:eastAsia="es-ES"/>
              </w:rPr>
              <w:t xml:space="preserve">Ajustes en el Plan Estratégico Institucional. </w:t>
            </w:r>
          </w:p>
        </w:tc>
      </w:tr>
      <w:tr w:rsidR="00D827B3" w:rsidRPr="00D827B3" w14:paraId="51685D33" w14:textId="77777777" w:rsidTr="001A347E">
        <w:trPr>
          <w:trHeight w:val="213"/>
        </w:trPr>
        <w:tc>
          <w:tcPr>
            <w:tcW w:w="1681" w:type="pct"/>
            <w:vMerge/>
            <w:shd w:val="clear" w:color="auto" w:fill="D9D9D9"/>
          </w:tcPr>
          <w:p w14:paraId="69C88A97"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4D79B6D8"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r w:rsidRPr="00D827B3">
              <w:rPr>
                <w:rFonts w:ascii="Times New Roman" w:hAnsi="Times New Roman"/>
                <w:snapToGrid w:val="0"/>
                <w:sz w:val="22"/>
                <w:szCs w:val="22"/>
                <w:lang w:eastAsia="es-ES"/>
              </w:rPr>
              <w:t xml:space="preserve">Ajustes en los Planes Anuales Operativos. </w:t>
            </w:r>
          </w:p>
        </w:tc>
      </w:tr>
      <w:tr w:rsidR="00D827B3" w:rsidRPr="00D827B3" w14:paraId="772E75CB" w14:textId="77777777" w:rsidTr="001A347E">
        <w:trPr>
          <w:trHeight w:val="213"/>
        </w:trPr>
        <w:tc>
          <w:tcPr>
            <w:tcW w:w="1681" w:type="pct"/>
            <w:vMerge/>
            <w:shd w:val="clear" w:color="auto" w:fill="D9D9D9"/>
          </w:tcPr>
          <w:p w14:paraId="2BCC5A7A"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59B7B1D7"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r w:rsidR="00D827B3" w:rsidRPr="00D827B3" w14:paraId="6BA6940A" w14:textId="77777777" w:rsidTr="001A347E">
        <w:trPr>
          <w:trHeight w:val="213"/>
        </w:trPr>
        <w:tc>
          <w:tcPr>
            <w:tcW w:w="1681" w:type="pct"/>
            <w:vMerge/>
            <w:shd w:val="clear" w:color="auto" w:fill="D9D9D9"/>
          </w:tcPr>
          <w:p w14:paraId="4C69F424" w14:textId="77777777" w:rsidR="00D827B3" w:rsidRPr="00D827B3" w:rsidRDefault="00D827B3" w:rsidP="00D827B3">
            <w:pPr>
              <w:suppressAutoHyphens w:val="0"/>
              <w:ind w:left="851" w:right="851" w:firstLine="709"/>
              <w:jc w:val="both"/>
              <w:rPr>
                <w:rFonts w:ascii="Times New Roman" w:hAnsi="Times New Roman"/>
                <w:b/>
                <w:snapToGrid w:val="0"/>
                <w:sz w:val="22"/>
                <w:szCs w:val="22"/>
                <w:lang w:eastAsia="es-ES"/>
              </w:rPr>
            </w:pPr>
          </w:p>
        </w:tc>
        <w:tc>
          <w:tcPr>
            <w:tcW w:w="3319" w:type="pct"/>
            <w:shd w:val="clear" w:color="auto" w:fill="auto"/>
          </w:tcPr>
          <w:p w14:paraId="17C7EB9D" w14:textId="77777777" w:rsidR="00D827B3" w:rsidRPr="00D827B3" w:rsidRDefault="00D827B3" w:rsidP="00D827B3">
            <w:pPr>
              <w:suppressAutoHyphens w:val="0"/>
              <w:ind w:left="851" w:right="851" w:firstLine="709"/>
              <w:jc w:val="both"/>
              <w:rPr>
                <w:rFonts w:ascii="Times New Roman" w:hAnsi="Times New Roman"/>
                <w:snapToGrid w:val="0"/>
                <w:sz w:val="22"/>
                <w:szCs w:val="22"/>
                <w:lang w:eastAsia="es-ES"/>
              </w:rPr>
            </w:pPr>
          </w:p>
        </w:tc>
      </w:tr>
    </w:tbl>
    <w:p w14:paraId="708A31B3" w14:textId="77777777" w:rsidR="00D827B3" w:rsidRPr="00D827B3" w:rsidRDefault="00D827B3" w:rsidP="00D827B3">
      <w:pPr>
        <w:keepNext/>
        <w:numPr>
          <w:ilvl w:val="0"/>
          <w:numId w:val="126"/>
        </w:numPr>
        <w:suppressAutoHyphens w:val="0"/>
        <w:ind w:left="851" w:right="851" w:firstLine="709"/>
        <w:jc w:val="both"/>
        <w:rPr>
          <w:b/>
          <w:snapToGrid w:val="0"/>
          <w:sz w:val="22"/>
          <w:szCs w:val="22"/>
          <w:lang w:val="es-MX" w:eastAsia="es-ES"/>
        </w:rPr>
      </w:pPr>
      <w:r w:rsidRPr="00D827B3">
        <w:rPr>
          <w:b/>
          <w:snapToGrid w:val="0"/>
          <w:sz w:val="22"/>
          <w:szCs w:val="22"/>
          <w:lang w:val="es-MX" w:eastAsia="es-ES"/>
        </w:rPr>
        <w:t>Generalidades del Subproceso</w:t>
      </w:r>
      <w:bookmarkEnd w:id="10"/>
    </w:p>
    <w:p w14:paraId="00A199CA" w14:textId="77777777" w:rsidR="00D827B3" w:rsidRPr="00D827B3" w:rsidRDefault="00D827B3" w:rsidP="00D827B3">
      <w:pPr>
        <w:suppressAutoHyphens w:val="0"/>
        <w:ind w:left="851" w:right="851" w:firstLine="709"/>
        <w:jc w:val="both"/>
        <w:rPr>
          <w:snapToGrid w:val="0"/>
          <w:sz w:val="22"/>
          <w:szCs w:val="22"/>
          <w:lang w:val="es-MX" w:eastAsia="es-ES"/>
        </w:rPr>
      </w:pPr>
    </w:p>
    <w:p w14:paraId="5295944D" w14:textId="77777777" w:rsidR="00D827B3" w:rsidRPr="00D827B3" w:rsidRDefault="00D827B3" w:rsidP="00D827B3">
      <w:pPr>
        <w:numPr>
          <w:ilvl w:val="1"/>
          <w:numId w:val="126"/>
        </w:numPr>
        <w:suppressAutoHyphens w:val="0"/>
        <w:ind w:left="851" w:right="851" w:firstLine="709"/>
        <w:contextualSpacing/>
        <w:jc w:val="both"/>
        <w:rPr>
          <w:snapToGrid w:val="0"/>
          <w:sz w:val="22"/>
          <w:szCs w:val="22"/>
          <w:lang w:val="es-MX" w:eastAsia="es-ES"/>
        </w:rPr>
      </w:pPr>
      <w:bookmarkStart w:id="11" w:name="_Toc89252573"/>
      <w:r w:rsidRPr="00D827B3">
        <w:rPr>
          <w:b/>
          <w:sz w:val="22"/>
          <w:szCs w:val="22"/>
          <w:lang w:val="es-MX" w:eastAsia="es-ES"/>
        </w:rPr>
        <w:t>Objetivo:</w:t>
      </w:r>
      <w:bookmarkEnd w:id="11"/>
    </w:p>
    <w:p w14:paraId="4F673779" w14:textId="77777777" w:rsidR="00D827B3" w:rsidRPr="00D827B3" w:rsidRDefault="00D827B3" w:rsidP="00D827B3">
      <w:pPr>
        <w:suppressAutoHyphens w:val="0"/>
        <w:ind w:left="851" w:right="851" w:firstLine="709"/>
        <w:jc w:val="both"/>
        <w:rPr>
          <w:snapToGrid w:val="0"/>
          <w:sz w:val="22"/>
          <w:szCs w:val="22"/>
          <w:lang w:val="es-MX" w:eastAsia="es-ES"/>
        </w:rPr>
      </w:pPr>
    </w:p>
    <w:p w14:paraId="45C7F8AB" w14:textId="77777777" w:rsidR="00D827B3" w:rsidRPr="00D827B3" w:rsidRDefault="00D827B3" w:rsidP="00D827B3">
      <w:pPr>
        <w:suppressAutoHyphens w:val="0"/>
        <w:ind w:left="851" w:right="851" w:firstLine="709"/>
        <w:jc w:val="both"/>
        <w:rPr>
          <w:snapToGrid w:val="0"/>
          <w:sz w:val="22"/>
          <w:szCs w:val="22"/>
          <w:lang w:val="es-MX" w:eastAsia="es-ES"/>
        </w:rPr>
      </w:pPr>
      <w:r w:rsidRPr="00D827B3">
        <w:rPr>
          <w:snapToGrid w:val="0"/>
          <w:sz w:val="22"/>
          <w:szCs w:val="22"/>
          <w:lang w:val="es-MX" w:eastAsia="es-ES"/>
        </w:rPr>
        <w:t xml:space="preserve">Gestionar los procesos de alineamiento estratégico de la institución, a través de la actualización y ajustes de los componentes asociados al Plan Estratégico Institucional (PEI) vigente, con el propósito de cumplir con la misión, visión, objetivos y metas estratégicos definidos en </w:t>
      </w:r>
    </w:p>
    <w:p w14:paraId="239B9E8D" w14:textId="77777777" w:rsidR="00D827B3" w:rsidRPr="00D827B3" w:rsidRDefault="00D827B3" w:rsidP="00D827B3">
      <w:pPr>
        <w:suppressAutoHyphens w:val="0"/>
        <w:ind w:left="851" w:right="851" w:firstLine="709"/>
        <w:jc w:val="both"/>
        <w:rPr>
          <w:snapToGrid w:val="0"/>
          <w:sz w:val="22"/>
          <w:szCs w:val="22"/>
          <w:lang w:val="es-MX" w:eastAsia="es-ES"/>
        </w:rPr>
      </w:pPr>
    </w:p>
    <w:p w14:paraId="387C42A8" w14:textId="5E49E168" w:rsidR="00D827B3" w:rsidRPr="00D827B3" w:rsidRDefault="00D827B3" w:rsidP="00D827B3">
      <w:pPr>
        <w:numPr>
          <w:ilvl w:val="1"/>
          <w:numId w:val="126"/>
        </w:numPr>
        <w:suppressAutoHyphens w:val="0"/>
        <w:ind w:left="851" w:right="851" w:firstLine="709"/>
        <w:contextualSpacing/>
        <w:jc w:val="both"/>
        <w:rPr>
          <w:b/>
          <w:sz w:val="22"/>
          <w:szCs w:val="22"/>
          <w:lang w:val="es-MX" w:eastAsia="es-ES"/>
        </w:rPr>
      </w:pPr>
      <w:bookmarkStart w:id="12" w:name="_Toc89252574"/>
      <w:r w:rsidRPr="00D827B3">
        <w:rPr>
          <w:b/>
          <w:sz w:val="22"/>
          <w:szCs w:val="22"/>
          <w:lang w:val="es-MX" w:eastAsia="es-ES"/>
        </w:rPr>
        <w:t>Alcance:</w:t>
      </w:r>
      <w:bookmarkEnd w:id="12"/>
      <w:r w:rsidRPr="00D827B3">
        <w:rPr>
          <w:b/>
          <w:bCs/>
          <w:snapToGrid w:val="0"/>
          <w:sz w:val="22"/>
          <w:szCs w:val="22"/>
          <w:lang w:val="es-MX" w:eastAsia="es-ES"/>
        </w:rPr>
        <w:t xml:space="preserve"> </w:t>
      </w:r>
    </w:p>
    <w:p w14:paraId="1215E779" w14:textId="53592E58" w:rsidR="00D827B3" w:rsidRDefault="00D827B3" w:rsidP="00D827B3">
      <w:pPr>
        <w:suppressAutoHyphens w:val="0"/>
        <w:ind w:left="851" w:right="851" w:firstLine="709"/>
        <w:jc w:val="both"/>
        <w:rPr>
          <w:bCs/>
          <w:sz w:val="22"/>
          <w:szCs w:val="22"/>
          <w:lang w:val="es-MX" w:eastAsia="es-ES"/>
        </w:rPr>
      </w:pPr>
      <w:bookmarkStart w:id="13" w:name="_Toc89252575"/>
      <w:r w:rsidRPr="00D827B3">
        <w:rPr>
          <w:bCs/>
          <w:sz w:val="22"/>
          <w:szCs w:val="22"/>
          <w:lang w:val="es-MX" w:eastAsia="es-ES"/>
        </w:rPr>
        <w:t>El presente subproceso define las actividades que se desarrollan a partir del momento en que una oficina o despacho judicial plantea una solicitud de alineamiento estratégico que implica la valoración para los ajustes a cualquiera de los componentes del Plan Estratégico Institucional (PEI), hasta el momento en que la Corte Plena conoce y aprueba la solicitud del alineamiento estratégico planteado y su ejecución.</w:t>
      </w:r>
      <w:bookmarkEnd w:id="13"/>
    </w:p>
    <w:p w14:paraId="1F53BE76" w14:textId="77777777" w:rsidR="00D827B3" w:rsidRPr="00D827B3" w:rsidRDefault="00D827B3" w:rsidP="00D827B3">
      <w:pPr>
        <w:suppressAutoHyphens w:val="0"/>
        <w:ind w:left="851" w:right="851" w:firstLine="709"/>
        <w:jc w:val="both"/>
        <w:rPr>
          <w:bCs/>
          <w:sz w:val="22"/>
          <w:szCs w:val="22"/>
          <w:lang w:val="es-MX" w:eastAsia="es-ES"/>
        </w:rPr>
      </w:pPr>
    </w:p>
    <w:p w14:paraId="6D5DC886" w14:textId="77777777" w:rsidR="00D827B3" w:rsidRPr="00D827B3" w:rsidRDefault="00D827B3" w:rsidP="00D827B3">
      <w:pPr>
        <w:suppressAutoHyphens w:val="0"/>
        <w:ind w:left="851" w:right="851" w:firstLine="709"/>
        <w:jc w:val="both"/>
        <w:rPr>
          <w:b/>
          <w:sz w:val="22"/>
          <w:szCs w:val="22"/>
          <w:lang w:val="es-MX" w:eastAsia="es-ES"/>
        </w:rPr>
      </w:pPr>
    </w:p>
    <w:p w14:paraId="41E2A607" w14:textId="77777777" w:rsidR="00D827B3" w:rsidRPr="00D827B3" w:rsidRDefault="00D827B3" w:rsidP="00D827B3">
      <w:pPr>
        <w:numPr>
          <w:ilvl w:val="1"/>
          <w:numId w:val="126"/>
        </w:numPr>
        <w:suppressAutoHyphens w:val="0"/>
        <w:ind w:left="851" w:right="851" w:firstLine="709"/>
        <w:contextualSpacing/>
        <w:jc w:val="both"/>
        <w:rPr>
          <w:b/>
          <w:sz w:val="22"/>
          <w:szCs w:val="22"/>
          <w:lang w:val="es-MX" w:eastAsia="es-ES"/>
        </w:rPr>
      </w:pPr>
      <w:bookmarkStart w:id="14" w:name="_Toc89252576"/>
      <w:r w:rsidRPr="00D827B3">
        <w:rPr>
          <w:b/>
          <w:sz w:val="22"/>
          <w:szCs w:val="22"/>
          <w:lang w:val="es-MX" w:eastAsia="es-ES"/>
        </w:rPr>
        <w:t>Limitaciones</w:t>
      </w:r>
      <w:r w:rsidRPr="00D827B3">
        <w:rPr>
          <w:sz w:val="22"/>
          <w:szCs w:val="22"/>
          <w:lang w:val="es-MX" w:eastAsia="es-ES"/>
        </w:rPr>
        <w:t>:</w:t>
      </w:r>
      <w:bookmarkEnd w:id="14"/>
      <w:r w:rsidRPr="00D827B3">
        <w:rPr>
          <w:b/>
          <w:bCs/>
          <w:snapToGrid w:val="0"/>
          <w:sz w:val="22"/>
          <w:szCs w:val="22"/>
          <w:lang w:val="es-MX" w:eastAsia="es-ES"/>
        </w:rPr>
        <w:t xml:space="preserve"> </w:t>
      </w:r>
    </w:p>
    <w:p w14:paraId="2F08435E" w14:textId="77777777" w:rsidR="00D827B3" w:rsidRPr="00D827B3" w:rsidRDefault="00D827B3" w:rsidP="00D827B3">
      <w:pPr>
        <w:suppressAutoHyphens w:val="0"/>
        <w:ind w:right="-2"/>
        <w:jc w:val="both"/>
        <w:rPr>
          <w:b/>
          <w:sz w:val="22"/>
          <w:szCs w:val="22"/>
          <w:lang w:val="es-MX" w:eastAsia="es-ES"/>
        </w:rPr>
      </w:pPr>
    </w:p>
    <w:p w14:paraId="6B0D4B68" w14:textId="77777777" w:rsidR="00D827B3" w:rsidRPr="00D827B3" w:rsidRDefault="00D827B3" w:rsidP="00D827B3">
      <w:pPr>
        <w:suppressAutoHyphens w:val="0"/>
        <w:ind w:left="851" w:right="851" w:firstLine="709"/>
        <w:jc w:val="both"/>
        <w:rPr>
          <w:bCs/>
          <w:sz w:val="22"/>
          <w:szCs w:val="22"/>
          <w:lang w:val="es-MX" w:eastAsia="es-ES"/>
        </w:rPr>
      </w:pPr>
      <w:r w:rsidRPr="00D827B3">
        <w:rPr>
          <w:bCs/>
          <w:sz w:val="22"/>
          <w:szCs w:val="22"/>
          <w:lang w:val="es-MX" w:eastAsia="es-ES"/>
        </w:rPr>
        <w:lastRenderedPageBreak/>
        <w:t xml:space="preserve">El presente subproceso no considera las actividades o pasos previos a la solicitud del alineamiento estratégico propuesto por la oficina y despacho judicial. </w:t>
      </w:r>
    </w:p>
    <w:p w14:paraId="7812C1F3" w14:textId="77777777" w:rsidR="00D827B3" w:rsidRPr="00D827B3" w:rsidRDefault="00D827B3" w:rsidP="00D827B3">
      <w:pPr>
        <w:suppressAutoHyphens w:val="0"/>
        <w:ind w:left="851" w:right="851" w:firstLine="709"/>
        <w:jc w:val="both"/>
        <w:rPr>
          <w:snapToGrid w:val="0"/>
          <w:sz w:val="22"/>
          <w:szCs w:val="22"/>
          <w:lang w:val="es-MX" w:eastAsia="es-ES"/>
        </w:rPr>
      </w:pPr>
    </w:p>
    <w:p w14:paraId="02A77A26" w14:textId="77777777" w:rsidR="00D827B3" w:rsidRPr="00D827B3" w:rsidRDefault="00D827B3" w:rsidP="00D827B3">
      <w:pPr>
        <w:keepNext/>
        <w:numPr>
          <w:ilvl w:val="0"/>
          <w:numId w:val="126"/>
        </w:numPr>
        <w:suppressAutoHyphens w:val="0"/>
        <w:ind w:left="851" w:right="851" w:firstLine="709"/>
        <w:jc w:val="both"/>
        <w:rPr>
          <w:b/>
          <w:snapToGrid w:val="0"/>
          <w:sz w:val="22"/>
          <w:szCs w:val="22"/>
          <w:lang w:val="es-MX" w:eastAsia="es-ES"/>
        </w:rPr>
      </w:pPr>
      <w:bookmarkStart w:id="15" w:name="_Toc89252577"/>
      <w:r w:rsidRPr="00D827B3">
        <w:rPr>
          <w:b/>
          <w:snapToGrid w:val="0"/>
          <w:sz w:val="22"/>
          <w:szCs w:val="22"/>
          <w:lang w:val="es-MX" w:eastAsia="es-ES"/>
        </w:rPr>
        <w:t>Diagrama de flujo</w:t>
      </w:r>
      <w:bookmarkEnd w:id="15"/>
      <w:r w:rsidRPr="00D827B3">
        <w:rPr>
          <w:b/>
          <w:snapToGrid w:val="0"/>
          <w:sz w:val="22"/>
          <w:szCs w:val="22"/>
          <w:lang w:val="es-MX" w:eastAsia="es-ES"/>
        </w:rPr>
        <w:t xml:space="preserve"> </w:t>
      </w:r>
    </w:p>
    <w:p w14:paraId="6E05A273" w14:textId="77777777" w:rsidR="00D827B3" w:rsidRPr="00D827B3" w:rsidRDefault="00D827B3" w:rsidP="00D827B3">
      <w:pPr>
        <w:keepNext/>
        <w:suppressAutoHyphens w:val="0"/>
        <w:ind w:left="720"/>
        <w:jc w:val="both"/>
        <w:rPr>
          <w:b/>
          <w:snapToGrid w:val="0"/>
          <w:sz w:val="22"/>
          <w:szCs w:val="22"/>
          <w:lang w:val="es-MX" w:eastAsia="es-ES"/>
        </w:rPr>
      </w:pPr>
    </w:p>
    <w:p w14:paraId="6935FAC8" w14:textId="77777777" w:rsidR="00D827B3" w:rsidRPr="00D827B3" w:rsidRDefault="00D827B3" w:rsidP="00D827B3">
      <w:pPr>
        <w:suppressAutoHyphens w:val="0"/>
        <w:jc w:val="center"/>
        <w:rPr>
          <w:snapToGrid w:val="0"/>
          <w:sz w:val="22"/>
          <w:szCs w:val="22"/>
          <w:lang w:val="es-MX" w:eastAsia="es-ES"/>
        </w:rPr>
      </w:pPr>
      <w:r w:rsidRPr="00D827B3">
        <w:rPr>
          <w:snapToGrid w:val="0"/>
          <w:sz w:val="22"/>
          <w:szCs w:val="22"/>
          <w:lang w:val="es-CR" w:eastAsia="es-ES"/>
        </w:rPr>
        <w:object w:dxaOrig="13671" w:dyaOrig="11375" w14:anchorId="401C76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346.35pt" o:ole="">
            <v:imagedata r:id="rId7" o:title=""/>
          </v:shape>
          <o:OLEObject Type="Embed" ProgID="Visio.Drawing.11" ShapeID="_x0000_i1025" DrawAspect="Content" ObjectID="_1742883736" r:id="rId8"/>
        </w:object>
      </w:r>
    </w:p>
    <w:p w14:paraId="56E2B5E1" w14:textId="77777777" w:rsidR="00D827B3" w:rsidRPr="00D827B3" w:rsidRDefault="00D827B3" w:rsidP="00D827B3">
      <w:pPr>
        <w:suppressAutoHyphens w:val="0"/>
        <w:ind w:left="851" w:right="851" w:firstLine="709"/>
        <w:rPr>
          <w:snapToGrid w:val="0"/>
          <w:sz w:val="22"/>
          <w:szCs w:val="22"/>
          <w:lang w:val="es-MX" w:eastAsia="es-ES"/>
        </w:rPr>
      </w:pPr>
      <w:r w:rsidRPr="00D827B3">
        <w:rPr>
          <w:b/>
          <w:bCs/>
          <w:snapToGrid w:val="0"/>
          <w:sz w:val="22"/>
          <w:szCs w:val="22"/>
          <w:lang w:val="es-MX" w:eastAsia="es-ES"/>
        </w:rPr>
        <w:t xml:space="preserve">Nota: </w:t>
      </w:r>
      <w:r w:rsidRPr="00D827B3">
        <w:rPr>
          <w:snapToGrid w:val="0"/>
          <w:sz w:val="22"/>
          <w:szCs w:val="22"/>
          <w:lang w:val="es-MX" w:eastAsia="es-ES"/>
        </w:rPr>
        <w:t xml:space="preserve">Léase CPE = Comité de Planeación Estratégica. </w:t>
      </w:r>
    </w:p>
    <w:p w14:paraId="52684FCE" w14:textId="77777777" w:rsidR="00D827B3" w:rsidRPr="00D827B3" w:rsidRDefault="00D827B3" w:rsidP="00D827B3">
      <w:pPr>
        <w:suppressAutoHyphens w:val="0"/>
        <w:ind w:left="851" w:right="851" w:firstLine="709"/>
        <w:rPr>
          <w:snapToGrid w:val="0"/>
          <w:sz w:val="22"/>
          <w:szCs w:val="22"/>
          <w:lang w:val="es-MX" w:eastAsia="es-ES"/>
        </w:rPr>
      </w:pPr>
      <w:r w:rsidRPr="00D827B3">
        <w:rPr>
          <w:b/>
          <w:bCs/>
          <w:snapToGrid w:val="0"/>
          <w:sz w:val="22"/>
          <w:szCs w:val="22"/>
          <w:lang w:val="es-MX" w:eastAsia="es-ES"/>
        </w:rPr>
        <w:t xml:space="preserve">Fuente: </w:t>
      </w:r>
      <w:r w:rsidRPr="00D827B3">
        <w:rPr>
          <w:snapToGrid w:val="0"/>
          <w:sz w:val="22"/>
          <w:szCs w:val="22"/>
          <w:lang w:val="es-MX" w:eastAsia="es-ES"/>
        </w:rPr>
        <w:t xml:space="preserve">Elaboración propia. </w:t>
      </w:r>
    </w:p>
    <w:p w14:paraId="06CA6E3A" w14:textId="77777777" w:rsidR="00D827B3" w:rsidRPr="00D827B3" w:rsidRDefault="00D827B3" w:rsidP="00D827B3">
      <w:pPr>
        <w:suppressAutoHyphens w:val="0"/>
        <w:ind w:left="851" w:right="851" w:firstLine="709"/>
        <w:jc w:val="center"/>
        <w:rPr>
          <w:snapToGrid w:val="0"/>
          <w:sz w:val="22"/>
          <w:szCs w:val="22"/>
          <w:lang w:val="es-MX" w:eastAsia="es-ES"/>
        </w:rPr>
      </w:pPr>
    </w:p>
    <w:p w14:paraId="1EF35920" w14:textId="77777777" w:rsidR="00D827B3" w:rsidRPr="00D827B3" w:rsidRDefault="00D827B3" w:rsidP="00D827B3">
      <w:pPr>
        <w:keepNext/>
        <w:numPr>
          <w:ilvl w:val="0"/>
          <w:numId w:val="126"/>
        </w:numPr>
        <w:suppressAutoHyphens w:val="0"/>
        <w:ind w:left="851" w:right="851" w:firstLine="709"/>
        <w:jc w:val="both"/>
        <w:rPr>
          <w:b/>
          <w:snapToGrid w:val="0"/>
          <w:sz w:val="22"/>
          <w:szCs w:val="22"/>
          <w:lang w:val="es-CR" w:eastAsia="es-ES"/>
        </w:rPr>
      </w:pPr>
      <w:bookmarkStart w:id="16" w:name="_Toc89252578"/>
      <w:r w:rsidRPr="00D827B3">
        <w:rPr>
          <w:b/>
          <w:snapToGrid w:val="0"/>
          <w:sz w:val="22"/>
          <w:szCs w:val="22"/>
          <w:lang w:val="es-CR" w:eastAsia="es-ES"/>
        </w:rPr>
        <w:t>Desarrollo del Subproceso</w:t>
      </w:r>
      <w:bookmarkEnd w:id="16"/>
    </w:p>
    <w:p w14:paraId="78AEE0FC" w14:textId="77777777" w:rsidR="00D827B3" w:rsidRPr="00D827B3" w:rsidRDefault="00D827B3" w:rsidP="00D827B3">
      <w:pPr>
        <w:keepNext/>
        <w:suppressAutoHyphens w:val="0"/>
        <w:ind w:left="851" w:right="851" w:firstLine="709"/>
        <w:jc w:val="both"/>
        <w:rPr>
          <w:b/>
          <w:snapToGrid w:val="0"/>
          <w:sz w:val="22"/>
          <w:szCs w:val="22"/>
          <w:lang w:val="es-CR" w:eastAsia="es-ES"/>
        </w:rPr>
      </w:pPr>
    </w:p>
    <w:p w14:paraId="67FA24DF" w14:textId="37F10B0E"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De la Figura anterior se desprende: </w:t>
      </w:r>
    </w:p>
    <w:p w14:paraId="3541D767" w14:textId="77777777" w:rsidR="00D827B3" w:rsidRPr="00D827B3" w:rsidRDefault="00D827B3" w:rsidP="00D827B3">
      <w:pPr>
        <w:suppressAutoHyphens w:val="0"/>
        <w:ind w:left="851" w:right="851" w:firstLine="709"/>
        <w:jc w:val="both"/>
        <w:rPr>
          <w:snapToGrid w:val="0"/>
          <w:sz w:val="22"/>
          <w:szCs w:val="22"/>
          <w:lang w:val="es-CR" w:eastAsia="es-ES"/>
        </w:rPr>
      </w:pPr>
    </w:p>
    <w:p w14:paraId="02656CA3"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1. Plantea solicitud de alineamiento estratégico a la Dirección de Planificación</w:t>
      </w:r>
    </w:p>
    <w:p w14:paraId="080552BB" w14:textId="77777777" w:rsidR="00D827B3" w:rsidRP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La oficina o despacho judicial mediante oficio o correo electrónico remite a la Dirección de Planificación una solicitud de alineamiento estratégico, que consiste en el planteamiento de una inclusión, modificación, cancelación o término (dar por completada la meta) de meta estratégica del Plan Estratégico Institucional vigente. Esta solicitud deberá ser ampliamente justificada y detallada, adjuntando los elementos y evidencias necesarias. </w:t>
      </w:r>
    </w:p>
    <w:p w14:paraId="4F43752D"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lastRenderedPageBreak/>
        <w:t>Paso 2. Analiza, valida y prepara propuesta técnica para presentar al CPE</w:t>
      </w:r>
    </w:p>
    <w:p w14:paraId="69F31461" w14:textId="39F1508D"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El Subproceso de Planificación Estratégica analiza la solicitud y valida el nivel de impacto sobre el Plan Estratégico Institucional. Luego procede con la elaboración de la propuesta técnica, que consiste en emitir criterio técnico y recomendaciones sobre la solicitud planteada, para presentar al Comité de Planeación Estratégica. </w:t>
      </w:r>
    </w:p>
    <w:p w14:paraId="79AC0BA8" w14:textId="77777777" w:rsidR="00D827B3" w:rsidRPr="00D827B3" w:rsidRDefault="00D827B3" w:rsidP="00D827B3">
      <w:pPr>
        <w:suppressAutoHyphens w:val="0"/>
        <w:ind w:left="851" w:right="851" w:firstLine="709"/>
        <w:jc w:val="both"/>
        <w:rPr>
          <w:snapToGrid w:val="0"/>
          <w:sz w:val="22"/>
          <w:szCs w:val="22"/>
          <w:lang w:val="es-CR" w:eastAsia="es-ES"/>
        </w:rPr>
      </w:pPr>
    </w:p>
    <w:p w14:paraId="2D61C460" w14:textId="58483573"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Este proceso de validación puede implicar la realización de reuniones y coordinaciones con las diferentes oficinas y despachos judiciales, que se encuentran involucradas o tendrían un impacto sobre la solicitud del alineamiento estratégico planteado. </w:t>
      </w:r>
    </w:p>
    <w:p w14:paraId="65375BB6" w14:textId="77777777" w:rsidR="00D827B3" w:rsidRPr="00D827B3" w:rsidRDefault="00D827B3" w:rsidP="00D827B3">
      <w:pPr>
        <w:suppressAutoHyphens w:val="0"/>
        <w:ind w:left="851" w:right="851" w:firstLine="709"/>
        <w:jc w:val="both"/>
        <w:rPr>
          <w:snapToGrid w:val="0"/>
          <w:sz w:val="22"/>
          <w:szCs w:val="22"/>
          <w:lang w:val="es-CR" w:eastAsia="es-ES"/>
        </w:rPr>
      </w:pPr>
    </w:p>
    <w:p w14:paraId="1AB76960" w14:textId="17C63447"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En este paso se valoran los siguientes tres aspectos, que aplican para solicitudes relacionadas con la inclusión de metas nuevas y metas estratégicas que han sido completadas antes del periodo de cumplimiento del PEI: </w:t>
      </w:r>
    </w:p>
    <w:p w14:paraId="29D0557F" w14:textId="77777777" w:rsidR="00D827B3" w:rsidRPr="00D827B3" w:rsidRDefault="00D827B3" w:rsidP="00D827B3">
      <w:pPr>
        <w:suppressAutoHyphens w:val="0"/>
        <w:ind w:left="851" w:right="851" w:firstLine="709"/>
        <w:jc w:val="both"/>
        <w:rPr>
          <w:snapToGrid w:val="0"/>
          <w:sz w:val="22"/>
          <w:szCs w:val="22"/>
          <w:lang w:val="es-CR" w:eastAsia="es-ES"/>
        </w:rPr>
      </w:pPr>
    </w:p>
    <w:p w14:paraId="09523AD4" w14:textId="77777777" w:rsidR="00D827B3" w:rsidRPr="00D827B3" w:rsidRDefault="00D827B3" w:rsidP="00D827B3">
      <w:pPr>
        <w:numPr>
          <w:ilvl w:val="2"/>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Alineamiento del PEI con los ODS</w:t>
      </w:r>
    </w:p>
    <w:p w14:paraId="32A79E46" w14:textId="386CAA7A"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En aquellos casos que se solicita la creación de una meta nueva en el Plan Estratégico Institucional deberá aplicarse la metodología aprobada por el Consejo Superior en sesión 77-2020, del 5 de agosto de 2020, artículo XX, ver acta </w:t>
      </w:r>
      <w:hyperlink r:id="rId9" w:history="1">
        <w:r w:rsidRPr="00D827B3">
          <w:rPr>
            <w:snapToGrid w:val="0"/>
            <w:sz w:val="22"/>
            <w:szCs w:val="22"/>
            <w:u w:val="single"/>
            <w:lang w:val="es-CR" w:eastAsia="es-ES"/>
          </w:rPr>
          <w:t>https://nexuspj.poder-judicial.go.cr/document/act-1-0003-4394-20</w:t>
        </w:r>
      </w:hyperlink>
      <w:r w:rsidRPr="00D827B3">
        <w:rPr>
          <w:snapToGrid w:val="0"/>
          <w:sz w:val="22"/>
          <w:szCs w:val="22"/>
          <w:lang w:val="es-CR" w:eastAsia="es-ES"/>
        </w:rPr>
        <w:t xml:space="preserve"> ); relacionado con el proceso de alineamiento del Plan Estratégico Institucional (PEI) 2019-2024 con la Agenda 2030 de los Objetivos de Desarrollo Sostenible (ODS). </w:t>
      </w:r>
    </w:p>
    <w:p w14:paraId="3BD4CCC8" w14:textId="77777777" w:rsidR="00D827B3" w:rsidRPr="00D827B3" w:rsidRDefault="00D827B3" w:rsidP="00D827B3">
      <w:pPr>
        <w:suppressAutoHyphens w:val="0"/>
        <w:ind w:left="851" w:right="851" w:firstLine="709"/>
        <w:jc w:val="both"/>
        <w:rPr>
          <w:snapToGrid w:val="0"/>
          <w:sz w:val="22"/>
          <w:szCs w:val="22"/>
          <w:lang w:val="es-CR" w:eastAsia="es-ES"/>
        </w:rPr>
      </w:pPr>
    </w:p>
    <w:p w14:paraId="636FB34D" w14:textId="6DC0F2EA" w:rsidR="00D827B3" w:rsidRDefault="00D827B3" w:rsidP="00D827B3">
      <w:pPr>
        <w:numPr>
          <w:ilvl w:val="2"/>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 xml:space="preserve">Clasificación de los indicadores de cada meta estratégica nueva propuesta </w:t>
      </w:r>
    </w:p>
    <w:p w14:paraId="1E33E82E" w14:textId="77777777" w:rsidR="00D827B3" w:rsidRPr="00D827B3" w:rsidRDefault="00D827B3" w:rsidP="00D827B3">
      <w:pPr>
        <w:suppressAutoHyphens w:val="0"/>
        <w:ind w:left="1560" w:right="851"/>
        <w:contextualSpacing/>
        <w:jc w:val="both"/>
        <w:rPr>
          <w:b/>
          <w:bCs/>
          <w:snapToGrid w:val="0"/>
          <w:sz w:val="22"/>
          <w:szCs w:val="22"/>
          <w:lang w:val="es-CR" w:eastAsia="es-ES"/>
        </w:rPr>
      </w:pPr>
    </w:p>
    <w:p w14:paraId="4F3E82F0" w14:textId="485EF936"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Asimismo, se deberá realizar la clasificación de los indicadores de cada meta estratégica nueva. Lo anterior, con base en lo aprobado por el Consejo Superior en sesión 83-2017, del 12 de septiembre de 2017, artículo LXIV, ver acá </w:t>
      </w:r>
      <w:hyperlink r:id="rId10" w:history="1">
        <w:r w:rsidRPr="00D827B3">
          <w:rPr>
            <w:snapToGrid w:val="0"/>
            <w:sz w:val="22"/>
            <w:szCs w:val="22"/>
            <w:u w:val="single"/>
            <w:lang w:val="es-CR" w:eastAsia="es-ES"/>
          </w:rPr>
          <w:t>https://nexuspj.poder-judicial.go.cr/document/act-1-0003-3388-64</w:t>
        </w:r>
      </w:hyperlink>
      <w:r w:rsidRPr="00D827B3">
        <w:rPr>
          <w:snapToGrid w:val="0"/>
          <w:sz w:val="22"/>
          <w:szCs w:val="22"/>
          <w:lang w:val="es-CR" w:eastAsia="es-ES"/>
        </w:rPr>
        <w:t>; en el que se define la metodología para la clasificación de los indicadores de cada meta estratégica, entre:</w:t>
      </w:r>
    </w:p>
    <w:p w14:paraId="7E8B77E9" w14:textId="77777777" w:rsidR="00D827B3" w:rsidRPr="00D827B3" w:rsidRDefault="00D827B3" w:rsidP="00D827B3">
      <w:pPr>
        <w:suppressAutoHyphens w:val="0"/>
        <w:ind w:left="851" w:right="851" w:firstLine="709"/>
        <w:jc w:val="both"/>
        <w:rPr>
          <w:snapToGrid w:val="0"/>
          <w:sz w:val="22"/>
          <w:szCs w:val="22"/>
          <w:lang w:val="es-CR" w:eastAsia="es-ES"/>
        </w:rPr>
      </w:pPr>
    </w:p>
    <w:p w14:paraId="2C321598"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Indicadores de insumo.</w:t>
      </w:r>
    </w:p>
    <w:p w14:paraId="18732AFC"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Indicadores de proceso.</w:t>
      </w:r>
    </w:p>
    <w:p w14:paraId="1544B2F5"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Indicadores de producto.</w:t>
      </w:r>
    </w:p>
    <w:p w14:paraId="07921755"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Indicadores de resultado intermedio.</w:t>
      </w:r>
    </w:p>
    <w:p w14:paraId="0A95BF72"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Indicadores de resultado final o impacto.</w:t>
      </w:r>
    </w:p>
    <w:p w14:paraId="2DDE284B"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Eficiencia.</w:t>
      </w:r>
    </w:p>
    <w:p w14:paraId="3EBCA1B5"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Eficacia.</w:t>
      </w:r>
    </w:p>
    <w:p w14:paraId="65947C23" w14:textId="77777777" w:rsidR="00D827B3" w:rsidRP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Calidad.</w:t>
      </w:r>
    </w:p>
    <w:p w14:paraId="0C6B2D53" w14:textId="76E89B7F" w:rsidR="00D827B3" w:rsidRDefault="00D827B3" w:rsidP="00D827B3">
      <w:pPr>
        <w:numPr>
          <w:ilvl w:val="0"/>
          <w:numId w:val="127"/>
        </w:numPr>
        <w:suppressAutoHyphens w:val="0"/>
        <w:ind w:left="851" w:right="851" w:firstLine="709"/>
        <w:contextualSpacing/>
        <w:jc w:val="both"/>
        <w:rPr>
          <w:snapToGrid w:val="0"/>
          <w:sz w:val="22"/>
          <w:szCs w:val="22"/>
          <w:lang w:val="es-CR" w:eastAsia="es-ES"/>
        </w:rPr>
      </w:pPr>
      <w:r w:rsidRPr="00D827B3">
        <w:rPr>
          <w:snapToGrid w:val="0"/>
          <w:sz w:val="22"/>
          <w:szCs w:val="22"/>
          <w:lang w:val="es-CR" w:eastAsia="es-ES"/>
        </w:rPr>
        <w:t>Economía.</w:t>
      </w:r>
    </w:p>
    <w:p w14:paraId="54A2480D" w14:textId="77777777" w:rsidR="00D827B3" w:rsidRPr="00D827B3" w:rsidRDefault="00D827B3" w:rsidP="00D827B3">
      <w:pPr>
        <w:suppressAutoHyphens w:val="0"/>
        <w:ind w:left="1560" w:right="851"/>
        <w:contextualSpacing/>
        <w:jc w:val="both"/>
        <w:rPr>
          <w:snapToGrid w:val="0"/>
          <w:sz w:val="22"/>
          <w:szCs w:val="22"/>
          <w:lang w:val="es-CR" w:eastAsia="es-ES"/>
        </w:rPr>
      </w:pPr>
    </w:p>
    <w:p w14:paraId="06B67E21" w14:textId="77777777" w:rsidR="00D827B3" w:rsidRPr="00D827B3" w:rsidRDefault="00D827B3" w:rsidP="00D827B3">
      <w:pPr>
        <w:numPr>
          <w:ilvl w:val="2"/>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 xml:space="preserve">En caso la solicitud de alineamiento estratégico sea el reporte que una meta estratégica ha sido completada antes de finalizar el periodo del PEI vigente, se procede con lo siguiente: </w:t>
      </w:r>
    </w:p>
    <w:p w14:paraId="22117B93" w14:textId="019B1749"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lastRenderedPageBreak/>
        <w:t xml:space="preserve">De momento el Sistema del Plan Estratégico Institucional (Sistema PEI) no permite consignar una meta estratégica como completada a través del sistema, sino que, este tipo de controles se lleva a cabo de manera manual. Lo anterior, ya se encuentra en proceso de automatización para la nueva versión del Sistema PEI. </w:t>
      </w:r>
    </w:p>
    <w:p w14:paraId="35D8EBAA" w14:textId="77777777" w:rsidR="00D827B3" w:rsidRPr="00D827B3" w:rsidRDefault="00D827B3" w:rsidP="00D827B3">
      <w:pPr>
        <w:suppressAutoHyphens w:val="0"/>
        <w:ind w:left="851" w:right="851" w:firstLine="709"/>
        <w:jc w:val="both"/>
        <w:rPr>
          <w:snapToGrid w:val="0"/>
          <w:sz w:val="22"/>
          <w:szCs w:val="22"/>
          <w:lang w:val="es-CR" w:eastAsia="es-ES"/>
        </w:rPr>
      </w:pPr>
    </w:p>
    <w:p w14:paraId="13BE8A1A" w14:textId="5DD5AFAD"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Sin embargo, de momento ante aquellas solicitudes de alineamiento estratégico, en el que las oficinas y despachos judiciales indiquen que han completado la meta estratégica, antes de haber concluido el periodo de 6 años del PEI; deberá ser validada por la Dirección de Planificación, con el fin de determinar en efecto los resultados, logros e impacto obtenido de su cumplimiento. Esta información deberá ser suministrada por la oficina y despacho judicial responsable de la meta estratégica y será conocida por el Comité de Planeación Estratégica, quien avalará o no si acoge la meta estratégica como terminada. </w:t>
      </w:r>
      <w:r w:rsidRPr="00D827B3">
        <w:rPr>
          <w:b/>
          <w:bCs/>
          <w:snapToGrid w:val="0"/>
          <w:sz w:val="22"/>
          <w:szCs w:val="22"/>
          <w:u w:val="single"/>
          <w:lang w:val="es-CR" w:eastAsia="es-ES"/>
        </w:rPr>
        <w:t>Este proceso aplica únicamente, para aquellas metas estratégicas terminadas antes del periodo de cumplimiento del PEI, que por lo general tienen un periodo de 6 años.</w:t>
      </w:r>
      <w:r w:rsidRPr="00D827B3">
        <w:rPr>
          <w:snapToGrid w:val="0"/>
          <w:sz w:val="22"/>
          <w:szCs w:val="22"/>
          <w:lang w:val="es-CR" w:eastAsia="es-ES"/>
        </w:rPr>
        <w:t xml:space="preserve"> Dado que, una vez completado ese periodo, la Dirección de Planificación emitirá un informe de evaluación del cumplimiento del PEI, conforme los lineamientos institucionales vigentes. </w:t>
      </w:r>
    </w:p>
    <w:p w14:paraId="69C159C2" w14:textId="77777777" w:rsidR="00D827B3" w:rsidRPr="00D827B3" w:rsidRDefault="00D827B3" w:rsidP="00D827B3">
      <w:pPr>
        <w:suppressAutoHyphens w:val="0"/>
        <w:ind w:left="851" w:right="851" w:firstLine="709"/>
        <w:jc w:val="both"/>
        <w:rPr>
          <w:snapToGrid w:val="0"/>
          <w:sz w:val="22"/>
          <w:szCs w:val="22"/>
          <w:lang w:val="es-CR" w:eastAsia="es-ES"/>
        </w:rPr>
      </w:pPr>
    </w:p>
    <w:p w14:paraId="0FC4B6CE"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3. Presenta propuesta de alineamiento estratégico al CPE</w:t>
      </w:r>
    </w:p>
    <w:p w14:paraId="08A5A886" w14:textId="399D667B"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Una vez completado el paso anterior, la Dirección de Planificación presenta la propuesta de alineamiento estratégico al Comité de Planeación Estratégica, a través de una propuesta de agenda, en el que coordina la programación de la sesión, conforme la disponibilidad de las agendas de las personas integrantes. </w:t>
      </w:r>
    </w:p>
    <w:p w14:paraId="667151F3" w14:textId="77777777" w:rsidR="00D827B3" w:rsidRPr="00D827B3" w:rsidRDefault="00D827B3" w:rsidP="00D827B3">
      <w:pPr>
        <w:suppressAutoHyphens w:val="0"/>
        <w:ind w:left="851" w:right="851" w:firstLine="709"/>
        <w:jc w:val="both"/>
        <w:rPr>
          <w:snapToGrid w:val="0"/>
          <w:sz w:val="22"/>
          <w:szCs w:val="22"/>
          <w:lang w:val="es-CR" w:eastAsia="es-ES"/>
        </w:rPr>
      </w:pPr>
    </w:p>
    <w:p w14:paraId="563ECC2F"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4. Conoce y acuerda propuesta de alineamiento estratégico</w:t>
      </w:r>
    </w:p>
    <w:p w14:paraId="422C070F" w14:textId="2461CC3E"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El Comité de Planeación Estratégica conoce en la sesión programada la solicitud de alineamiento estratégico, valora y acuerda lo correspondiente, a través de un proceso deliberativo, de análisis y discusión, conforme las competencias asignadas por el Consejo Superior, en sesión 95-16 celebrada el 13 de octubre del 2016, artículo LXII, ver acta </w:t>
      </w:r>
      <w:hyperlink r:id="rId11" w:history="1">
        <w:r w:rsidRPr="00D827B3">
          <w:rPr>
            <w:snapToGrid w:val="0"/>
            <w:sz w:val="22"/>
            <w:szCs w:val="22"/>
            <w:u w:val="single"/>
            <w:lang w:val="es-CR" w:eastAsia="es-ES"/>
          </w:rPr>
          <w:t>https://nexuspj.poder-judicial.go.cr/document/act-1-0003-4394-20</w:t>
        </w:r>
      </w:hyperlink>
      <w:r w:rsidRPr="00D827B3">
        <w:rPr>
          <w:snapToGrid w:val="0"/>
          <w:sz w:val="22"/>
          <w:szCs w:val="22"/>
          <w:lang w:val="es-CR" w:eastAsia="es-ES"/>
        </w:rPr>
        <w:t>.</w:t>
      </w:r>
    </w:p>
    <w:p w14:paraId="56E52EC1" w14:textId="77777777" w:rsidR="00D827B3" w:rsidRPr="00D827B3" w:rsidRDefault="00D827B3" w:rsidP="00D827B3">
      <w:pPr>
        <w:suppressAutoHyphens w:val="0"/>
        <w:ind w:left="851" w:right="851" w:firstLine="709"/>
        <w:jc w:val="both"/>
        <w:rPr>
          <w:snapToGrid w:val="0"/>
          <w:sz w:val="22"/>
          <w:szCs w:val="22"/>
          <w:lang w:val="es-CR" w:eastAsia="es-ES"/>
        </w:rPr>
      </w:pPr>
    </w:p>
    <w:p w14:paraId="2E179814"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5. Elabora oficio sobre lo acordado por el CPE</w:t>
      </w:r>
    </w:p>
    <w:p w14:paraId="5A31F1A2" w14:textId="313F7FDA"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Una vez en firme el acuerdo del Comité de Planeación Estratégica, el Subproceso de Planificación Estratégica procede con la elaboración de propuesta de oficio en el que transcribe el acuerdo. </w:t>
      </w:r>
    </w:p>
    <w:p w14:paraId="6C188A96" w14:textId="77777777" w:rsidR="00D827B3" w:rsidRPr="00D827B3" w:rsidRDefault="00D827B3" w:rsidP="00D827B3">
      <w:pPr>
        <w:suppressAutoHyphens w:val="0"/>
        <w:ind w:left="851" w:right="851" w:firstLine="709"/>
        <w:jc w:val="both"/>
        <w:rPr>
          <w:snapToGrid w:val="0"/>
          <w:sz w:val="22"/>
          <w:szCs w:val="22"/>
          <w:lang w:val="es-CR" w:eastAsia="es-ES"/>
        </w:rPr>
      </w:pPr>
    </w:p>
    <w:p w14:paraId="490FC0CC"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6. Revisa y aprueba propuesta de oficio</w:t>
      </w:r>
    </w:p>
    <w:p w14:paraId="7C642FFE" w14:textId="048985C5"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La Dirección de Planificación procede con la revisión y aprobación de la propuesta de oficio y procede a tramitar para la comunicación. </w:t>
      </w:r>
    </w:p>
    <w:p w14:paraId="2ADD91FC" w14:textId="77777777" w:rsidR="00D827B3" w:rsidRPr="00D827B3" w:rsidRDefault="00D827B3" w:rsidP="00D827B3">
      <w:pPr>
        <w:suppressAutoHyphens w:val="0"/>
        <w:ind w:left="851" w:right="851" w:firstLine="709"/>
        <w:jc w:val="both"/>
        <w:rPr>
          <w:snapToGrid w:val="0"/>
          <w:sz w:val="22"/>
          <w:szCs w:val="22"/>
          <w:lang w:val="es-CR" w:eastAsia="es-ES"/>
        </w:rPr>
      </w:pPr>
    </w:p>
    <w:p w14:paraId="2A9213F8"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7. ¿Oficio dirigido a la Secretaría de la Corte?</w:t>
      </w:r>
    </w:p>
    <w:p w14:paraId="4114CBC3" w14:textId="77777777" w:rsidR="00D827B3" w:rsidRP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La Dirección de Planificación valora si el oficio va dirigido a la Secretaría de la Corte o bien a una instancia distinta, según lo acordado por el Comité de Planeación Estratégica. Si se dirige a la Secretaría General de la Corte, pasar al Paso 8, caso contrario al Paso 11. </w:t>
      </w:r>
    </w:p>
    <w:p w14:paraId="55D9DA4B" w14:textId="77777777" w:rsidR="00D827B3" w:rsidRPr="00D827B3" w:rsidRDefault="00D827B3" w:rsidP="00D827B3">
      <w:pPr>
        <w:suppressAutoHyphens w:val="0"/>
        <w:ind w:left="851" w:right="851" w:firstLine="709"/>
        <w:jc w:val="both"/>
        <w:rPr>
          <w:snapToGrid w:val="0"/>
          <w:sz w:val="22"/>
          <w:szCs w:val="22"/>
          <w:lang w:val="es-CR" w:eastAsia="es-ES"/>
        </w:rPr>
      </w:pPr>
    </w:p>
    <w:p w14:paraId="21986303"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8. Comunica a la Secretaría General de la Corte</w:t>
      </w:r>
    </w:p>
    <w:p w14:paraId="6E1B35EA" w14:textId="11364BF6"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lastRenderedPageBreak/>
        <w:t xml:space="preserve">La Dirección de Planificación procede a comunicar oficio a la Secretaría General de la Corte, con copia al Comité de Planeación Estratégica y las oficinas y despachos judiciales responsables de las metas estratégicas de las que trata el oficio. </w:t>
      </w:r>
    </w:p>
    <w:p w14:paraId="6B0CE6EB" w14:textId="77777777" w:rsidR="00D827B3" w:rsidRPr="00D827B3" w:rsidRDefault="00D827B3" w:rsidP="00D827B3">
      <w:pPr>
        <w:suppressAutoHyphens w:val="0"/>
        <w:ind w:left="851" w:right="851" w:firstLine="709"/>
        <w:jc w:val="both"/>
        <w:rPr>
          <w:snapToGrid w:val="0"/>
          <w:sz w:val="22"/>
          <w:szCs w:val="22"/>
          <w:lang w:val="es-CR" w:eastAsia="es-ES"/>
        </w:rPr>
      </w:pPr>
    </w:p>
    <w:p w14:paraId="24F04B52"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9. Conoce y acuerda lo correspondiente a la propuesta de alineamiento estratégico</w:t>
      </w:r>
    </w:p>
    <w:p w14:paraId="31863F43" w14:textId="6903BB4E"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La Corte Plena procede a conocer la propuesta de oficio y acuerda lo que considere correspondiente y a través de la Secretaría General de la Corte se comunican los acuerdos dados. </w:t>
      </w:r>
    </w:p>
    <w:p w14:paraId="4F359BF1" w14:textId="77777777" w:rsidR="00D827B3" w:rsidRPr="00D827B3" w:rsidRDefault="00D827B3" w:rsidP="00D827B3">
      <w:pPr>
        <w:suppressAutoHyphens w:val="0"/>
        <w:ind w:left="851" w:right="851" w:firstLine="709"/>
        <w:jc w:val="both"/>
        <w:rPr>
          <w:snapToGrid w:val="0"/>
          <w:sz w:val="22"/>
          <w:szCs w:val="22"/>
          <w:lang w:val="es-CR" w:eastAsia="es-ES"/>
        </w:rPr>
      </w:pPr>
    </w:p>
    <w:p w14:paraId="0635C935"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10. Ejecuta los acuerdos aprobados</w:t>
      </w:r>
    </w:p>
    <w:p w14:paraId="58749DE4" w14:textId="56AC4903"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El Subproceso de Planificación Estratégica procede a coordinar la ejecución de los acuerdos dados por la Corte Plena según corresponda. </w:t>
      </w:r>
    </w:p>
    <w:p w14:paraId="2A79D77A" w14:textId="77777777" w:rsidR="00D827B3" w:rsidRPr="00D827B3" w:rsidRDefault="00D827B3" w:rsidP="00D827B3">
      <w:pPr>
        <w:suppressAutoHyphens w:val="0"/>
        <w:ind w:left="851" w:right="851" w:firstLine="709"/>
        <w:jc w:val="both"/>
        <w:rPr>
          <w:snapToGrid w:val="0"/>
          <w:sz w:val="22"/>
          <w:szCs w:val="22"/>
          <w:lang w:val="es-CR" w:eastAsia="es-ES"/>
        </w:rPr>
      </w:pPr>
    </w:p>
    <w:p w14:paraId="0CDA110B" w14:textId="77777777" w:rsidR="00D827B3" w:rsidRPr="00D827B3" w:rsidRDefault="00D827B3" w:rsidP="00D827B3">
      <w:pPr>
        <w:numPr>
          <w:ilvl w:val="1"/>
          <w:numId w:val="126"/>
        </w:numPr>
        <w:suppressAutoHyphens w:val="0"/>
        <w:ind w:left="851" w:right="851" w:firstLine="709"/>
        <w:contextualSpacing/>
        <w:jc w:val="both"/>
        <w:rPr>
          <w:b/>
          <w:bCs/>
          <w:snapToGrid w:val="0"/>
          <w:sz w:val="22"/>
          <w:szCs w:val="22"/>
          <w:lang w:val="es-CR" w:eastAsia="es-ES"/>
        </w:rPr>
      </w:pPr>
      <w:r w:rsidRPr="00D827B3">
        <w:rPr>
          <w:b/>
          <w:bCs/>
          <w:snapToGrid w:val="0"/>
          <w:sz w:val="22"/>
          <w:szCs w:val="22"/>
          <w:lang w:val="es-CR" w:eastAsia="es-ES"/>
        </w:rPr>
        <w:t>Paso 11. Comunica a las instancias y oficinas correspondientes, con base en lo acordado por el CPE</w:t>
      </w:r>
    </w:p>
    <w:p w14:paraId="24CC84FA" w14:textId="1F4C1F91"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La Dirección de Planificación procede a comunicar oficio a las instancias y oficinas correspondientes sobre lo acordado por el Comité de Planeación Estratégica, quien además es copiado en el oficio comunicado.</w:t>
      </w:r>
    </w:p>
    <w:p w14:paraId="4663B2A6" w14:textId="77777777" w:rsidR="00D827B3" w:rsidRPr="00D827B3" w:rsidRDefault="00D827B3" w:rsidP="00D827B3">
      <w:pPr>
        <w:suppressAutoHyphens w:val="0"/>
        <w:ind w:left="851" w:right="851" w:firstLine="709"/>
        <w:jc w:val="both"/>
        <w:rPr>
          <w:snapToGrid w:val="0"/>
          <w:sz w:val="22"/>
          <w:szCs w:val="22"/>
          <w:lang w:val="es-CR" w:eastAsia="es-ES"/>
        </w:rPr>
      </w:pPr>
    </w:p>
    <w:p w14:paraId="55162437" w14:textId="79C97440" w:rsidR="00D827B3" w:rsidRDefault="00D827B3" w:rsidP="00D827B3">
      <w:pPr>
        <w:suppressAutoHyphens w:val="0"/>
        <w:ind w:left="851" w:right="851" w:firstLine="709"/>
        <w:jc w:val="both"/>
        <w:rPr>
          <w:snapToGrid w:val="0"/>
          <w:sz w:val="22"/>
          <w:szCs w:val="22"/>
          <w:lang w:val="es-CR" w:eastAsia="es-ES"/>
        </w:rPr>
      </w:pPr>
      <w:r w:rsidRPr="00D827B3">
        <w:rPr>
          <w:snapToGrid w:val="0"/>
          <w:sz w:val="22"/>
          <w:szCs w:val="22"/>
          <w:lang w:val="es-CR" w:eastAsia="es-ES"/>
        </w:rPr>
        <w:t xml:space="preserve">Aunado a lo anterior, se procede a adjuntar la propuesta de subproceso en formato estándar conforme el Modelo de Gestión por Procesos. </w:t>
      </w:r>
    </w:p>
    <w:p w14:paraId="407DB54F" w14:textId="77777777" w:rsidR="00D827B3" w:rsidRPr="00D827B3" w:rsidRDefault="00D827B3" w:rsidP="00D827B3">
      <w:pPr>
        <w:suppressAutoHyphens w:val="0"/>
        <w:ind w:left="851" w:right="851" w:firstLine="709"/>
        <w:jc w:val="both"/>
        <w:rPr>
          <w:snapToGrid w:val="0"/>
          <w:sz w:val="22"/>
          <w:szCs w:val="22"/>
          <w:lang w:val="es-CR" w:eastAsia="es-ES"/>
        </w:rPr>
      </w:pPr>
    </w:p>
    <w:bookmarkStart w:id="17" w:name="_MON_1699870038"/>
    <w:bookmarkEnd w:id="17"/>
    <w:p w14:paraId="4D783110" w14:textId="77777777" w:rsidR="00D827B3" w:rsidRPr="00D827B3" w:rsidRDefault="00D827B3" w:rsidP="00D827B3">
      <w:pPr>
        <w:suppressAutoHyphens w:val="0"/>
        <w:jc w:val="center"/>
        <w:rPr>
          <w:snapToGrid w:val="0"/>
          <w:sz w:val="22"/>
          <w:szCs w:val="22"/>
          <w:lang w:val="es-CR" w:eastAsia="es-ES"/>
        </w:rPr>
      </w:pPr>
      <w:r w:rsidRPr="00D827B3">
        <w:rPr>
          <w:snapToGrid w:val="0"/>
          <w:sz w:val="22"/>
          <w:szCs w:val="22"/>
          <w:lang w:val="es-CR" w:eastAsia="es-ES"/>
        </w:rPr>
        <w:object w:dxaOrig="1536" w:dyaOrig="1000" w14:anchorId="1EF97791">
          <v:shape id="_x0000_i1026" type="#_x0000_t75" style="width:78.4pt;height:49.6pt" o:ole="">
            <v:imagedata r:id="rId12" o:title=""/>
          </v:shape>
          <o:OLEObject Type="Embed" ProgID="Word.Document.12" ShapeID="_x0000_i1026" DrawAspect="Icon" ObjectID="_1742883737" r:id="rId13">
            <o:FieldCodes>\s</o:FieldCodes>
          </o:OLEObject>
        </w:object>
      </w:r>
    </w:p>
    <w:p w14:paraId="16FF1FE9" w14:textId="77777777" w:rsidR="00D827B3" w:rsidRPr="00D827B3" w:rsidRDefault="00D827B3" w:rsidP="00D827B3">
      <w:pPr>
        <w:tabs>
          <w:tab w:val="left" w:pos="6916"/>
        </w:tabs>
        <w:suppressAutoHyphens w:val="0"/>
        <w:rPr>
          <w:sz w:val="22"/>
          <w:szCs w:val="22"/>
          <w:lang w:eastAsia="en-US"/>
        </w:rPr>
      </w:pPr>
    </w:p>
    <w:p w14:paraId="5477F31A" w14:textId="77777777" w:rsidR="00D827B3" w:rsidRPr="00D827B3" w:rsidRDefault="00D827B3" w:rsidP="00D827B3">
      <w:pPr>
        <w:tabs>
          <w:tab w:val="left" w:pos="6916"/>
        </w:tabs>
        <w:suppressAutoHyphens w:val="0"/>
        <w:jc w:val="center"/>
        <w:rPr>
          <w:b/>
          <w:bCs/>
          <w:sz w:val="22"/>
          <w:szCs w:val="22"/>
          <w:lang w:eastAsia="en-US"/>
        </w:rPr>
      </w:pPr>
      <w:r w:rsidRPr="00D827B3">
        <w:rPr>
          <w:b/>
          <w:bCs/>
          <w:sz w:val="22"/>
          <w:szCs w:val="22"/>
          <w:lang w:eastAsia="en-US"/>
        </w:rPr>
        <w:t>Anexos</w:t>
      </w:r>
    </w:p>
    <w:p w14:paraId="18B614E6" w14:textId="77777777" w:rsidR="00D827B3" w:rsidRPr="00D827B3" w:rsidRDefault="00D827B3" w:rsidP="00D827B3">
      <w:pPr>
        <w:tabs>
          <w:tab w:val="left" w:pos="6916"/>
        </w:tabs>
        <w:suppressAutoHyphens w:val="0"/>
        <w:jc w:val="center"/>
        <w:rPr>
          <w:sz w:val="22"/>
          <w:szCs w:val="22"/>
          <w:lang w:eastAsia="en-US"/>
        </w:rPr>
      </w:pPr>
    </w:p>
    <w:tbl>
      <w:tblPr>
        <w:tblStyle w:val="Tablaconcuadrcula1"/>
        <w:tblW w:w="0" w:type="auto"/>
        <w:tblLook w:val="04A0" w:firstRow="1" w:lastRow="0" w:firstColumn="1" w:lastColumn="0" w:noHBand="0" w:noVBand="1"/>
      </w:tblPr>
      <w:tblGrid>
        <w:gridCol w:w="4414"/>
        <w:gridCol w:w="4414"/>
      </w:tblGrid>
      <w:tr w:rsidR="00D827B3" w:rsidRPr="00D827B3" w14:paraId="23F07A91" w14:textId="77777777" w:rsidTr="001A347E">
        <w:tc>
          <w:tcPr>
            <w:tcW w:w="4414" w:type="dxa"/>
            <w:vAlign w:val="center"/>
          </w:tcPr>
          <w:p w14:paraId="1C4C76FA" w14:textId="77777777" w:rsidR="00D827B3" w:rsidRPr="00D827B3" w:rsidRDefault="00D827B3" w:rsidP="00D827B3">
            <w:pPr>
              <w:tabs>
                <w:tab w:val="left" w:pos="6916"/>
              </w:tabs>
              <w:suppressAutoHyphens w:val="0"/>
              <w:rPr>
                <w:rFonts w:ascii="Times New Roman" w:hAnsi="Times New Roman"/>
                <w:sz w:val="22"/>
                <w:szCs w:val="22"/>
                <w:lang w:val="es-ES" w:eastAsia="en-US"/>
              </w:rPr>
            </w:pPr>
            <w:r w:rsidRPr="00D827B3">
              <w:rPr>
                <w:rFonts w:ascii="Times New Roman" w:hAnsi="Times New Roman"/>
                <w:sz w:val="22"/>
                <w:szCs w:val="22"/>
                <w:lang w:val="es-ES" w:eastAsia="en-US"/>
              </w:rPr>
              <w:t>Anexo 1: Respuesta de la Dirección de Gestión Humana.</w:t>
            </w:r>
          </w:p>
        </w:tc>
        <w:tc>
          <w:tcPr>
            <w:tcW w:w="4414" w:type="dxa"/>
            <w:vAlign w:val="center"/>
          </w:tcPr>
          <w:p w14:paraId="3C7D09DF" w14:textId="77777777" w:rsidR="00D827B3" w:rsidRPr="00D827B3" w:rsidRDefault="00D827B3" w:rsidP="00D827B3">
            <w:pPr>
              <w:tabs>
                <w:tab w:val="left" w:pos="6916"/>
              </w:tabs>
              <w:suppressAutoHyphens w:val="0"/>
              <w:jc w:val="center"/>
              <w:rPr>
                <w:rFonts w:ascii="Times New Roman" w:hAnsi="Times New Roman"/>
                <w:sz w:val="22"/>
                <w:szCs w:val="22"/>
                <w:lang w:val="es-ES" w:eastAsia="en-US"/>
              </w:rPr>
            </w:pPr>
            <w:r w:rsidRPr="00D827B3">
              <w:rPr>
                <w:rFonts w:ascii="Times New Roman" w:hAnsi="Times New Roman"/>
                <w:sz w:val="22"/>
                <w:szCs w:val="22"/>
                <w:lang w:val="es-ES" w:eastAsia="en-US"/>
              </w:rPr>
              <w:t>…</w:t>
            </w:r>
          </w:p>
        </w:tc>
      </w:tr>
      <w:tr w:rsidR="00D827B3" w:rsidRPr="00D827B3" w14:paraId="2B70537F" w14:textId="77777777" w:rsidTr="001A347E">
        <w:tc>
          <w:tcPr>
            <w:tcW w:w="4414" w:type="dxa"/>
            <w:vAlign w:val="center"/>
          </w:tcPr>
          <w:p w14:paraId="5B9ADC40" w14:textId="77777777" w:rsidR="00D827B3" w:rsidRPr="00D827B3" w:rsidRDefault="00D827B3" w:rsidP="00D827B3">
            <w:pPr>
              <w:tabs>
                <w:tab w:val="left" w:pos="6916"/>
              </w:tabs>
              <w:suppressAutoHyphens w:val="0"/>
              <w:rPr>
                <w:rFonts w:ascii="Times New Roman" w:hAnsi="Times New Roman"/>
                <w:sz w:val="22"/>
                <w:szCs w:val="22"/>
                <w:lang w:val="es-ES" w:eastAsia="en-US"/>
              </w:rPr>
            </w:pPr>
            <w:r w:rsidRPr="00D827B3">
              <w:rPr>
                <w:rFonts w:ascii="Times New Roman" w:hAnsi="Times New Roman"/>
                <w:sz w:val="22"/>
                <w:szCs w:val="22"/>
                <w:lang w:val="es-ES" w:eastAsia="en-US"/>
              </w:rPr>
              <w:t xml:space="preserve">Anexo 2: Respuesta de la Dirección Ejecutiva. </w:t>
            </w:r>
          </w:p>
        </w:tc>
        <w:tc>
          <w:tcPr>
            <w:tcW w:w="4414" w:type="dxa"/>
            <w:vAlign w:val="center"/>
          </w:tcPr>
          <w:p w14:paraId="5F005957" w14:textId="77777777" w:rsidR="00D827B3" w:rsidRPr="00D827B3" w:rsidRDefault="00D827B3" w:rsidP="00D827B3">
            <w:pPr>
              <w:tabs>
                <w:tab w:val="left" w:pos="6916"/>
              </w:tabs>
              <w:suppressAutoHyphens w:val="0"/>
              <w:jc w:val="center"/>
              <w:rPr>
                <w:rFonts w:ascii="Times New Roman" w:hAnsi="Times New Roman"/>
                <w:sz w:val="22"/>
                <w:szCs w:val="22"/>
                <w:lang w:val="es-ES" w:eastAsia="en-US"/>
              </w:rPr>
            </w:pPr>
            <w:r w:rsidRPr="00D827B3">
              <w:rPr>
                <w:rFonts w:ascii="Times New Roman" w:hAnsi="Times New Roman"/>
                <w:sz w:val="22"/>
                <w:szCs w:val="22"/>
                <w:lang w:val="es-ES" w:eastAsia="en-US"/>
              </w:rPr>
              <w:t>…</w:t>
            </w:r>
          </w:p>
        </w:tc>
      </w:tr>
      <w:tr w:rsidR="00D827B3" w:rsidRPr="00D827B3" w14:paraId="600A7F06" w14:textId="77777777" w:rsidTr="001A347E">
        <w:tc>
          <w:tcPr>
            <w:tcW w:w="4414" w:type="dxa"/>
            <w:vAlign w:val="center"/>
          </w:tcPr>
          <w:p w14:paraId="0F3FF067" w14:textId="77777777" w:rsidR="00D827B3" w:rsidRPr="00D827B3" w:rsidRDefault="00D827B3" w:rsidP="00D827B3">
            <w:pPr>
              <w:tabs>
                <w:tab w:val="left" w:pos="6916"/>
              </w:tabs>
              <w:suppressAutoHyphens w:val="0"/>
              <w:rPr>
                <w:rFonts w:ascii="Times New Roman" w:hAnsi="Times New Roman"/>
                <w:sz w:val="22"/>
                <w:szCs w:val="22"/>
                <w:lang w:val="es-ES" w:eastAsia="en-US"/>
              </w:rPr>
            </w:pPr>
            <w:r w:rsidRPr="00D827B3">
              <w:rPr>
                <w:rFonts w:ascii="Times New Roman" w:hAnsi="Times New Roman"/>
                <w:sz w:val="22"/>
                <w:szCs w:val="22"/>
                <w:lang w:val="es-ES" w:eastAsia="en-US"/>
              </w:rPr>
              <w:t xml:space="preserve">Anexo 3: Respuesta de Dinorah Alvarez, Integrante del Consejo Superior. </w:t>
            </w:r>
          </w:p>
        </w:tc>
        <w:tc>
          <w:tcPr>
            <w:tcW w:w="4414" w:type="dxa"/>
            <w:vAlign w:val="center"/>
          </w:tcPr>
          <w:p w14:paraId="22F65AEA" w14:textId="77777777" w:rsidR="00D827B3" w:rsidRPr="00D827B3" w:rsidRDefault="00D827B3" w:rsidP="00D827B3">
            <w:pPr>
              <w:tabs>
                <w:tab w:val="left" w:pos="6916"/>
              </w:tabs>
              <w:suppressAutoHyphens w:val="0"/>
              <w:jc w:val="center"/>
              <w:rPr>
                <w:rFonts w:ascii="Times New Roman" w:hAnsi="Times New Roman"/>
                <w:sz w:val="22"/>
                <w:szCs w:val="22"/>
                <w:lang w:val="es-ES" w:eastAsia="en-US"/>
              </w:rPr>
            </w:pPr>
            <w:r w:rsidRPr="00D827B3">
              <w:rPr>
                <w:rFonts w:ascii="Times New Roman" w:hAnsi="Times New Roman"/>
                <w:sz w:val="22"/>
                <w:szCs w:val="22"/>
                <w:lang w:val="es-ES" w:eastAsia="en-US"/>
              </w:rPr>
              <w:t>…</w:t>
            </w:r>
          </w:p>
        </w:tc>
      </w:tr>
      <w:tr w:rsidR="00D827B3" w:rsidRPr="00D827B3" w14:paraId="53222323" w14:textId="77777777" w:rsidTr="001A347E">
        <w:tc>
          <w:tcPr>
            <w:tcW w:w="4414" w:type="dxa"/>
            <w:vAlign w:val="center"/>
          </w:tcPr>
          <w:p w14:paraId="0DB7F5FB" w14:textId="77777777" w:rsidR="00D827B3" w:rsidRPr="00D827B3" w:rsidRDefault="00D827B3" w:rsidP="00D827B3">
            <w:pPr>
              <w:tabs>
                <w:tab w:val="left" w:pos="6916"/>
              </w:tabs>
              <w:suppressAutoHyphens w:val="0"/>
              <w:rPr>
                <w:rFonts w:ascii="Times New Roman" w:hAnsi="Times New Roman"/>
                <w:sz w:val="22"/>
                <w:szCs w:val="22"/>
                <w:lang w:val="es-ES" w:eastAsia="en-US"/>
              </w:rPr>
            </w:pPr>
            <w:r w:rsidRPr="00D827B3">
              <w:rPr>
                <w:rFonts w:ascii="Times New Roman" w:hAnsi="Times New Roman"/>
                <w:sz w:val="22"/>
                <w:szCs w:val="22"/>
                <w:lang w:val="es-ES" w:eastAsia="en-US"/>
              </w:rPr>
              <w:t xml:space="preserve">Anexo 4: Respuesta de la Comisión de la Jurisdicción Penal solicitando prórroga al 7 de enero de 2022 para emitir observaciones. Sin embargo, al 21-01-2022, no se recibió respuesta. </w:t>
            </w:r>
          </w:p>
        </w:tc>
        <w:tc>
          <w:tcPr>
            <w:tcW w:w="4414" w:type="dxa"/>
            <w:vAlign w:val="center"/>
          </w:tcPr>
          <w:p w14:paraId="656447C4" w14:textId="77777777" w:rsidR="00D827B3" w:rsidRPr="00D827B3" w:rsidRDefault="00D827B3" w:rsidP="00D827B3">
            <w:pPr>
              <w:tabs>
                <w:tab w:val="left" w:pos="6916"/>
              </w:tabs>
              <w:suppressAutoHyphens w:val="0"/>
              <w:jc w:val="center"/>
              <w:rPr>
                <w:rFonts w:ascii="Times New Roman" w:hAnsi="Times New Roman"/>
                <w:sz w:val="22"/>
                <w:szCs w:val="22"/>
                <w:lang w:val="es-ES" w:eastAsia="en-US"/>
              </w:rPr>
            </w:pPr>
            <w:r w:rsidRPr="00D827B3">
              <w:rPr>
                <w:rFonts w:ascii="Times New Roman" w:hAnsi="Times New Roman"/>
                <w:sz w:val="22"/>
                <w:szCs w:val="22"/>
                <w:lang w:val="es-ES" w:eastAsia="en-US"/>
              </w:rPr>
              <w:t>…</w:t>
            </w:r>
          </w:p>
        </w:tc>
      </w:tr>
    </w:tbl>
    <w:p w14:paraId="5FAAD5FF" w14:textId="77777777" w:rsidR="00D827B3" w:rsidRPr="00D827B3" w:rsidRDefault="00D827B3" w:rsidP="00D827B3">
      <w:pPr>
        <w:jc w:val="both"/>
        <w:rPr>
          <w:i/>
          <w:iCs/>
          <w:sz w:val="22"/>
          <w:szCs w:val="22"/>
        </w:rPr>
      </w:pPr>
    </w:p>
    <w:p w14:paraId="37E08123" w14:textId="77777777" w:rsidR="00D827B3" w:rsidRPr="00D827B3" w:rsidRDefault="00D827B3" w:rsidP="00D827B3">
      <w:pPr>
        <w:ind w:left="851" w:right="851" w:firstLine="709"/>
        <w:jc w:val="both"/>
        <w:rPr>
          <w:sz w:val="22"/>
          <w:szCs w:val="22"/>
        </w:rPr>
      </w:pPr>
      <w:r w:rsidRPr="00D827B3">
        <w:rPr>
          <w:i/>
          <w:iCs/>
          <w:sz w:val="22"/>
          <w:szCs w:val="22"/>
        </w:rPr>
        <w:t>Este informe cuenta con las revisiones y ajustes correspondientes de las jefaturas indicadas</w:t>
      </w:r>
      <w:r w:rsidRPr="00D827B3">
        <w:rPr>
          <w:sz w:val="22"/>
          <w:szCs w:val="22"/>
        </w:rPr>
        <w:t>.”</w:t>
      </w:r>
    </w:p>
    <w:p w14:paraId="3AC6EBF7" w14:textId="77777777" w:rsidR="00D827B3" w:rsidRPr="00D827B3" w:rsidRDefault="00D827B3" w:rsidP="00D827B3">
      <w:pPr>
        <w:suppressAutoHyphens w:val="0"/>
        <w:ind w:firstLine="708"/>
        <w:jc w:val="both"/>
        <w:rPr>
          <w:sz w:val="22"/>
          <w:szCs w:val="22"/>
          <w:lang w:val="es-CR" w:eastAsia="en-US"/>
        </w:rPr>
      </w:pPr>
    </w:p>
    <w:p w14:paraId="7C572ACF" w14:textId="31A16D7E" w:rsidR="00D827B3" w:rsidRDefault="00D827B3" w:rsidP="00D827B3">
      <w:pPr>
        <w:suppressAutoHyphens w:val="0"/>
        <w:jc w:val="center"/>
        <w:rPr>
          <w:rFonts w:eastAsia="Calibri"/>
          <w:sz w:val="22"/>
          <w:szCs w:val="22"/>
          <w:lang w:val="es-CR" w:eastAsia="en-US"/>
        </w:rPr>
      </w:pPr>
      <w:r w:rsidRPr="00D827B3">
        <w:rPr>
          <w:rFonts w:eastAsia="Calibri"/>
          <w:sz w:val="22"/>
          <w:szCs w:val="22"/>
          <w:lang w:val="es-CR" w:eastAsia="en-US"/>
        </w:rPr>
        <w:t>-0-</w:t>
      </w:r>
    </w:p>
    <w:p w14:paraId="18F253CA" w14:textId="77777777" w:rsidR="00D827B3" w:rsidRPr="00D827B3" w:rsidRDefault="00D827B3" w:rsidP="00D827B3">
      <w:pPr>
        <w:suppressAutoHyphens w:val="0"/>
        <w:jc w:val="center"/>
        <w:rPr>
          <w:rFonts w:eastAsia="Calibri"/>
          <w:sz w:val="22"/>
          <w:szCs w:val="22"/>
          <w:lang w:val="es-CR" w:eastAsia="en-US"/>
        </w:rPr>
      </w:pPr>
    </w:p>
    <w:p w14:paraId="31C6CF0A" w14:textId="2F2FEEEF" w:rsidR="00294863" w:rsidRPr="00D827B3" w:rsidRDefault="00D827B3" w:rsidP="00D827B3">
      <w:pPr>
        <w:widowControl w:val="0"/>
        <w:suppressAutoHyphens w:val="0"/>
        <w:ind w:firstLine="709"/>
        <w:jc w:val="both"/>
        <w:rPr>
          <w:b/>
          <w:bCs/>
          <w:sz w:val="22"/>
          <w:szCs w:val="22"/>
          <w:lang w:eastAsia="es-ES"/>
        </w:rPr>
      </w:pPr>
      <w:r w:rsidRPr="00D827B3">
        <w:rPr>
          <w:b/>
          <w:bCs/>
          <w:sz w:val="22"/>
          <w:szCs w:val="22"/>
          <w:lang w:eastAsia="es-ES"/>
        </w:rPr>
        <w:t>Se acordó: 1)</w:t>
      </w:r>
      <w:r w:rsidRPr="00D827B3">
        <w:rPr>
          <w:sz w:val="22"/>
          <w:szCs w:val="22"/>
          <w:lang w:eastAsia="es-ES"/>
        </w:rPr>
        <w:t xml:space="preserve"> Tener por rendido el Informe N°</w:t>
      </w:r>
      <w:r w:rsidRPr="00D827B3">
        <w:rPr>
          <w:snapToGrid w:val="0"/>
          <w:sz w:val="22"/>
          <w:szCs w:val="22"/>
          <w:lang w:eastAsia="es-ES"/>
        </w:rPr>
        <w:t xml:space="preserve">91-PLA-PE-2022 </w:t>
      </w:r>
      <w:r w:rsidRPr="00D827B3">
        <w:rPr>
          <w:sz w:val="22"/>
          <w:szCs w:val="22"/>
          <w:lang w:eastAsia="es-ES"/>
        </w:rPr>
        <w:t>de la Dirección de Planificación, relacionado con “el Modelo de Gestión Estratégica que forma parte del Plan Estratégico Institucional 2019-</w:t>
      </w:r>
      <w:r w:rsidRPr="00D827B3">
        <w:rPr>
          <w:sz w:val="22"/>
          <w:szCs w:val="22"/>
          <w:lang w:eastAsia="es-ES"/>
        </w:rPr>
        <w:lastRenderedPageBreak/>
        <w:t xml:space="preserve">2024 (PEI 2019-2024).” </w:t>
      </w:r>
      <w:r w:rsidRPr="00D827B3">
        <w:rPr>
          <w:b/>
          <w:bCs/>
          <w:sz w:val="22"/>
          <w:szCs w:val="22"/>
          <w:lang w:val="es-CR" w:eastAsia="es-ES"/>
        </w:rPr>
        <w:t xml:space="preserve">2) </w:t>
      </w:r>
      <w:r w:rsidRPr="00D827B3">
        <w:rPr>
          <w:sz w:val="22"/>
          <w:szCs w:val="22"/>
          <w:lang w:eastAsia="es-ES"/>
        </w:rPr>
        <w:t xml:space="preserve">Aprobar la propuesta para la gestión de los alineamientos estratégicos (procedimiento asociado al Subproceso de la Gestión de Solicitudes de Alineamiento Estratégico), el cual </w:t>
      </w:r>
      <w:r w:rsidRPr="00D827B3">
        <w:rPr>
          <w:bCs/>
          <w:sz w:val="22"/>
          <w:szCs w:val="22"/>
          <w:lang w:val="es-MX" w:eastAsia="es-ES"/>
        </w:rPr>
        <w:t>define las actividades que se desarrollan a partir del momento en que una oficina o despacho judicial plantea una solicitud de alineamiento estratégico, que implica la valoración para los ajustes a cualquiera de los componentes del Plan Estratégico Institucional (PEI), hasta el momento en que la Corte Plena conoce y aprueba la solicitud del alineamiento estratégico planteado y su ejecución.</w:t>
      </w:r>
      <w:r w:rsidRPr="00D827B3">
        <w:rPr>
          <w:sz w:val="22"/>
          <w:szCs w:val="22"/>
          <w:lang w:eastAsia="es-ES"/>
        </w:rPr>
        <w:t xml:space="preserve"> </w:t>
      </w:r>
      <w:r w:rsidRPr="00D827B3">
        <w:rPr>
          <w:b/>
          <w:bCs/>
          <w:sz w:val="22"/>
          <w:szCs w:val="22"/>
          <w:lang w:eastAsia="es-ES"/>
        </w:rPr>
        <w:t>3)</w:t>
      </w:r>
      <w:r w:rsidRPr="00D827B3">
        <w:rPr>
          <w:sz w:val="22"/>
          <w:szCs w:val="22"/>
          <w:lang w:eastAsia="es-ES"/>
        </w:rPr>
        <w:t xml:space="preserve"> Comuníquese el presente acuerdo a Integrantes del Comité de Planeación Estratégica y a la Dirección de Planificación. </w:t>
      </w:r>
      <w:bookmarkStart w:id="18" w:name="_Hlk96079947"/>
      <w:r w:rsidRPr="00D827B3">
        <w:rPr>
          <w:b/>
          <w:bCs/>
          <w:sz w:val="22"/>
          <w:szCs w:val="22"/>
          <w:lang w:eastAsia="es-ES"/>
        </w:rPr>
        <w:t>Se declara acuerdo firme.</w:t>
      </w:r>
      <w:bookmarkEnd w:id="18"/>
      <w:r w:rsidR="009F45D2" w:rsidRPr="00D827B3">
        <w:rPr>
          <w:b/>
          <w:bCs/>
          <w:sz w:val="22"/>
          <w:szCs w:val="22"/>
        </w:rPr>
        <w:t>”</w:t>
      </w:r>
    </w:p>
    <w:p w14:paraId="5C125FAA" w14:textId="77777777" w:rsidR="009033DA" w:rsidRPr="00D827B3" w:rsidRDefault="009033DA" w:rsidP="00D827B3">
      <w:pPr>
        <w:widowControl w:val="0"/>
        <w:autoSpaceDE w:val="0"/>
        <w:autoSpaceDN w:val="0"/>
        <w:adjustRightInd w:val="0"/>
        <w:ind w:right="851"/>
        <w:jc w:val="both"/>
        <w:rPr>
          <w:sz w:val="22"/>
          <w:szCs w:val="22"/>
        </w:rPr>
      </w:pPr>
    </w:p>
    <w:p w14:paraId="47ECE26F" w14:textId="77777777" w:rsidR="003D6337" w:rsidRPr="00D827B3" w:rsidRDefault="00561024" w:rsidP="00D827B3">
      <w:pPr>
        <w:tabs>
          <w:tab w:val="left" w:pos="4295"/>
        </w:tabs>
        <w:ind w:left="4248"/>
        <w:jc w:val="both"/>
        <w:rPr>
          <w:b/>
          <w:bCs/>
          <w:sz w:val="22"/>
          <w:szCs w:val="22"/>
        </w:rPr>
      </w:pPr>
      <w:r w:rsidRPr="00D827B3">
        <w:rPr>
          <w:b/>
          <w:bCs/>
          <w:sz w:val="22"/>
          <w:szCs w:val="22"/>
        </w:rPr>
        <w:t>A</w:t>
      </w:r>
      <w:r w:rsidR="003D6337" w:rsidRPr="00D827B3">
        <w:rPr>
          <w:b/>
          <w:bCs/>
          <w:sz w:val="22"/>
          <w:szCs w:val="22"/>
        </w:rPr>
        <w:t xml:space="preserve">tentamente, </w:t>
      </w:r>
    </w:p>
    <w:p w14:paraId="65B7A8D2" w14:textId="77777777" w:rsidR="003D6337" w:rsidRPr="00D827B3" w:rsidRDefault="003D6337" w:rsidP="00D827B3">
      <w:pPr>
        <w:ind w:left="-708"/>
        <w:jc w:val="both"/>
        <w:rPr>
          <w:b/>
          <w:bCs/>
          <w:sz w:val="22"/>
          <w:szCs w:val="22"/>
        </w:rPr>
      </w:pPr>
    </w:p>
    <w:p w14:paraId="51D45ABA" w14:textId="77777777" w:rsidR="003D6337" w:rsidRPr="00D827B3" w:rsidRDefault="003D6337" w:rsidP="00D827B3">
      <w:pPr>
        <w:ind w:left="-708"/>
        <w:jc w:val="both"/>
        <w:rPr>
          <w:b/>
          <w:bCs/>
          <w:sz w:val="22"/>
          <w:szCs w:val="22"/>
        </w:rPr>
      </w:pPr>
    </w:p>
    <w:p w14:paraId="5AA974A0" w14:textId="77777777" w:rsidR="003D6337" w:rsidRPr="00D827B3" w:rsidRDefault="003D6337" w:rsidP="00D827B3">
      <w:pPr>
        <w:ind w:left="708"/>
        <w:jc w:val="both"/>
        <w:rPr>
          <w:b/>
          <w:bCs/>
          <w:sz w:val="22"/>
          <w:szCs w:val="22"/>
          <w:lang w:val="es-ES_tradnl"/>
        </w:rPr>
      </w:pPr>
    </w:p>
    <w:p w14:paraId="31EBFCE9" w14:textId="77777777" w:rsidR="00910D0C" w:rsidRPr="00D827B3" w:rsidRDefault="00910D0C" w:rsidP="00D827B3">
      <w:pPr>
        <w:ind w:left="708"/>
        <w:jc w:val="both"/>
        <w:rPr>
          <w:b/>
          <w:bCs/>
          <w:sz w:val="22"/>
          <w:szCs w:val="22"/>
          <w:lang w:val="es-ES_tradnl"/>
        </w:rPr>
      </w:pPr>
    </w:p>
    <w:p w14:paraId="455247DE" w14:textId="1EDF8477" w:rsidR="009F1C8E" w:rsidRPr="00D827B3" w:rsidRDefault="009F1C8E" w:rsidP="00D827B3">
      <w:pPr>
        <w:pStyle w:val="Ttulo53"/>
        <w:keepNext w:val="0"/>
        <w:tabs>
          <w:tab w:val="clear" w:pos="0"/>
        </w:tabs>
        <w:ind w:left="4248"/>
        <w:jc w:val="both"/>
        <w:rPr>
          <w:rFonts w:eastAsia="Times New Roman"/>
          <w:i w:val="0"/>
          <w:iCs w:val="0"/>
          <w:sz w:val="22"/>
          <w:szCs w:val="22"/>
          <w:u w:val="none"/>
          <w:shd w:val="clear" w:color="auto" w:fill="auto"/>
          <w:lang w:val="es-CR"/>
        </w:rPr>
      </w:pPr>
      <w:r w:rsidRPr="00D827B3">
        <w:rPr>
          <w:rFonts w:eastAsia="Times New Roman"/>
          <w:i w:val="0"/>
          <w:iCs w:val="0"/>
          <w:sz w:val="22"/>
          <w:szCs w:val="22"/>
          <w:u w:val="none"/>
          <w:shd w:val="clear" w:color="auto" w:fill="auto"/>
          <w:lang w:val="es-CR"/>
        </w:rPr>
        <w:t>Kenneth Aguilar Hernández</w:t>
      </w:r>
    </w:p>
    <w:p w14:paraId="009BE598" w14:textId="73A8B387" w:rsidR="00F833FF" w:rsidRPr="00D827B3" w:rsidRDefault="009F1C8E" w:rsidP="00D827B3">
      <w:pPr>
        <w:pStyle w:val="Ttulo53"/>
        <w:keepNext w:val="0"/>
        <w:tabs>
          <w:tab w:val="clear" w:pos="0"/>
        </w:tabs>
        <w:ind w:left="4248"/>
        <w:jc w:val="both"/>
        <w:rPr>
          <w:rFonts w:eastAsia="Times New Roman"/>
          <w:i w:val="0"/>
          <w:iCs w:val="0"/>
          <w:sz w:val="22"/>
          <w:szCs w:val="22"/>
          <w:u w:val="none"/>
          <w:shd w:val="clear" w:color="auto" w:fill="auto"/>
          <w:lang w:val="es-CR"/>
        </w:rPr>
      </w:pPr>
      <w:r w:rsidRPr="00D827B3">
        <w:rPr>
          <w:rFonts w:eastAsia="Times New Roman"/>
          <w:i w:val="0"/>
          <w:iCs w:val="0"/>
          <w:sz w:val="22"/>
          <w:szCs w:val="22"/>
          <w:u w:val="none"/>
          <w:shd w:val="clear" w:color="auto" w:fill="auto"/>
          <w:lang w:val="es-CR"/>
        </w:rPr>
        <w:t xml:space="preserve">Prosecretario General </w:t>
      </w:r>
    </w:p>
    <w:p w14:paraId="7A07677B" w14:textId="77777777" w:rsidR="00007D52" w:rsidRPr="00D827B3" w:rsidRDefault="00007D52" w:rsidP="00D827B3">
      <w:pPr>
        <w:pStyle w:val="Ttulo53"/>
        <w:keepNext w:val="0"/>
        <w:tabs>
          <w:tab w:val="clear" w:pos="0"/>
          <w:tab w:val="left" w:pos="708"/>
        </w:tabs>
        <w:ind w:left="4248"/>
        <w:jc w:val="both"/>
        <w:rPr>
          <w:rFonts w:eastAsia="Times New Roman"/>
          <w:i w:val="0"/>
          <w:iCs w:val="0"/>
          <w:sz w:val="22"/>
          <w:szCs w:val="22"/>
          <w:u w:val="none"/>
          <w:lang w:val="es-CR"/>
        </w:rPr>
      </w:pPr>
      <w:r w:rsidRPr="00D827B3">
        <w:rPr>
          <w:rFonts w:eastAsia="Times New Roman"/>
          <w:i w:val="0"/>
          <w:iCs w:val="0"/>
          <w:sz w:val="22"/>
          <w:szCs w:val="22"/>
          <w:u w:val="none"/>
          <w:lang w:val="es-CR"/>
        </w:rPr>
        <w:t>Secretaría General de la Corte</w:t>
      </w:r>
    </w:p>
    <w:p w14:paraId="6CFD6FA5" w14:textId="23853E22" w:rsidR="009033DA" w:rsidRDefault="00477DCD" w:rsidP="00D827B3">
      <w:pPr>
        <w:pStyle w:val="Ttulo51"/>
        <w:keepNext w:val="0"/>
        <w:tabs>
          <w:tab w:val="clear" w:pos="0"/>
        </w:tabs>
        <w:jc w:val="both"/>
        <w:rPr>
          <w:rFonts w:eastAsia="Times New Roman"/>
          <w:i w:val="0"/>
          <w:iCs w:val="0"/>
          <w:sz w:val="22"/>
          <w:szCs w:val="22"/>
          <w:u w:val="none"/>
          <w:shd w:val="clear" w:color="auto" w:fill="auto"/>
          <w:lang w:val="es-CR"/>
        </w:rPr>
      </w:pPr>
      <w:r w:rsidRPr="00D827B3">
        <w:rPr>
          <w:rFonts w:eastAsia="Times New Roman"/>
          <w:i w:val="0"/>
          <w:iCs w:val="0"/>
          <w:sz w:val="22"/>
          <w:szCs w:val="22"/>
          <w:u w:val="none"/>
          <w:shd w:val="clear" w:color="auto" w:fill="auto"/>
          <w:lang w:val="es-CR"/>
        </w:rPr>
        <w:t xml:space="preserve"> </w:t>
      </w:r>
    </w:p>
    <w:p w14:paraId="49AD5859" w14:textId="77777777" w:rsidR="00D827B3" w:rsidRPr="00D827B3" w:rsidRDefault="00D827B3" w:rsidP="00D827B3">
      <w:pPr>
        <w:rPr>
          <w:lang w:val="es-CR"/>
        </w:rPr>
      </w:pPr>
    </w:p>
    <w:p w14:paraId="2948AEB7" w14:textId="77777777" w:rsidR="00D827B3" w:rsidRPr="00D827B3" w:rsidRDefault="00790B81" w:rsidP="00D827B3">
      <w:pPr>
        <w:autoSpaceDE w:val="0"/>
        <w:autoSpaceDN w:val="0"/>
        <w:adjustRightInd w:val="0"/>
        <w:jc w:val="both"/>
        <w:rPr>
          <w:rFonts w:eastAsia="Calibri"/>
          <w:b/>
          <w:bCs/>
          <w:sz w:val="22"/>
          <w:szCs w:val="22"/>
          <w:lang w:val="es-CR" w:eastAsia="en-US"/>
        </w:rPr>
      </w:pPr>
      <w:r w:rsidRPr="00D827B3">
        <w:rPr>
          <w:sz w:val="22"/>
          <w:szCs w:val="22"/>
        </w:rPr>
        <w:t>C</w:t>
      </w:r>
      <w:r w:rsidR="00B46B14" w:rsidRPr="00D827B3">
        <w:rPr>
          <w:sz w:val="22"/>
          <w:szCs w:val="22"/>
        </w:rPr>
        <w:t>c</w:t>
      </w:r>
      <w:r w:rsidR="0029216A" w:rsidRPr="00D827B3">
        <w:rPr>
          <w:sz w:val="22"/>
          <w:szCs w:val="22"/>
        </w:rPr>
        <w:t>:</w:t>
      </w:r>
      <w:r w:rsidR="009033DA" w:rsidRPr="00D827B3">
        <w:rPr>
          <w:sz w:val="22"/>
          <w:szCs w:val="22"/>
        </w:rPr>
        <w:t xml:space="preserve"> </w:t>
      </w:r>
      <w:r w:rsidR="003C3831" w:rsidRPr="00D827B3">
        <w:rPr>
          <w:b/>
          <w:bCs/>
          <w:sz w:val="22"/>
          <w:szCs w:val="22"/>
          <w:lang w:val="es-ES_tradnl"/>
        </w:rPr>
        <w:tab/>
      </w:r>
      <w:r w:rsidR="00D827B3" w:rsidRPr="00D827B3">
        <w:rPr>
          <w:sz w:val="22"/>
          <w:szCs w:val="22"/>
          <w:lang w:eastAsia="es-ES"/>
        </w:rPr>
        <w:t>Comité de Planeación Estratégica</w:t>
      </w:r>
    </w:p>
    <w:p w14:paraId="0B7B2DDB" w14:textId="6E6B2412" w:rsidR="0029216A" w:rsidRPr="00D827B3" w:rsidRDefault="0029216A" w:rsidP="00D827B3">
      <w:pPr>
        <w:ind w:firstLine="708"/>
        <w:jc w:val="both"/>
        <w:rPr>
          <w:sz w:val="22"/>
          <w:szCs w:val="22"/>
        </w:rPr>
      </w:pPr>
      <w:r w:rsidRPr="00D827B3">
        <w:rPr>
          <w:sz w:val="22"/>
          <w:szCs w:val="22"/>
        </w:rPr>
        <w:t>Diligencias / Refs: (</w:t>
      </w:r>
      <w:r w:rsidR="00D827B3" w:rsidRPr="00D827B3">
        <w:rPr>
          <w:rFonts w:eastAsia="Calibri"/>
          <w:b/>
          <w:sz w:val="22"/>
          <w:szCs w:val="22"/>
          <w:lang w:val="es-CR" w:eastAsia="en-US"/>
        </w:rPr>
        <w:t>1039-2022</w:t>
      </w:r>
      <w:r w:rsidRPr="00D827B3">
        <w:rPr>
          <w:sz w:val="22"/>
          <w:szCs w:val="22"/>
        </w:rPr>
        <w:t xml:space="preserve">) </w:t>
      </w:r>
    </w:p>
    <w:p w14:paraId="53F0FADC" w14:textId="77777777" w:rsidR="00544269" w:rsidRPr="00D827B3" w:rsidRDefault="00544269" w:rsidP="00D827B3">
      <w:pPr>
        <w:ind w:firstLine="708"/>
        <w:rPr>
          <w:color w:val="7F7F7F" w:themeColor="text1" w:themeTint="80"/>
          <w:sz w:val="22"/>
          <w:szCs w:val="22"/>
          <w:lang w:eastAsia="en-US"/>
        </w:rPr>
      </w:pPr>
      <w:r w:rsidRPr="00D827B3">
        <w:rPr>
          <w:color w:val="7F7F7F" w:themeColor="text1" w:themeTint="80"/>
          <w:sz w:val="22"/>
          <w:szCs w:val="22"/>
          <w:lang w:val="es-CR"/>
        </w:rPr>
        <w:t>Iquesadac</w:t>
      </w:r>
    </w:p>
    <w:p w14:paraId="44EB5DEE" w14:textId="3DA0A928" w:rsidR="009F45D2" w:rsidRPr="00D827B3" w:rsidRDefault="009F45D2" w:rsidP="00D827B3">
      <w:pPr>
        <w:jc w:val="both"/>
        <w:rPr>
          <w:b/>
          <w:sz w:val="22"/>
          <w:szCs w:val="22"/>
          <w:shd w:val="clear" w:color="auto" w:fill="FFFFFF"/>
          <w:lang w:val="es-ES_tradnl"/>
        </w:rPr>
      </w:pPr>
    </w:p>
    <w:sectPr w:rsidR="009F45D2" w:rsidRPr="00D827B3" w:rsidSect="00721E43">
      <w:headerReference w:type="default" r:id="rId14"/>
      <w:footerReference w:type="default" r:id="rId15"/>
      <w:footnotePr>
        <w:pos w:val="beneathText"/>
      </w:footnotePr>
      <w:pgSz w:w="12240" w:h="15840"/>
      <w:pgMar w:top="1418" w:right="1418" w:bottom="2126" w:left="1417" w:header="851"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FBC7" w14:textId="77777777" w:rsidR="00D64B6D" w:rsidRDefault="00D64B6D">
      <w:r>
        <w:separator/>
      </w:r>
    </w:p>
  </w:endnote>
  <w:endnote w:type="continuationSeparator" w:id="0">
    <w:p w14:paraId="1F9BE1B1" w14:textId="77777777" w:rsidR="00D64B6D" w:rsidRDefault="00D64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10cpi">
    <w:altName w:val="Courier Ne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388A" w14:textId="77777777" w:rsidR="00D64B6D" w:rsidRDefault="00D64B6D">
      <w:r>
        <w:separator/>
      </w:r>
    </w:p>
  </w:footnote>
  <w:footnote w:type="continuationSeparator" w:id="0">
    <w:p w14:paraId="64B9FFD3" w14:textId="77777777" w:rsidR="00D64B6D" w:rsidRDefault="00D64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4DA1" w14:textId="2E238A50" w:rsidR="00186ADE" w:rsidRDefault="00634905">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441D2BBB">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02F1D03"/>
    <w:multiLevelType w:val="multilevel"/>
    <w:tmpl w:val="04663804"/>
    <w:lvl w:ilvl="0">
      <w:start w:val="1"/>
      <w:numFmt w:val="decimal"/>
      <w:lvlText w:val="%1."/>
      <w:lvlJc w:val="left"/>
      <w:pPr>
        <w:ind w:left="720" w:hanging="360"/>
      </w:pPr>
      <w:rPr>
        <w:b/>
        <w:bCs w:val="0"/>
        <w:color w:val="auto"/>
        <w:sz w:val="22"/>
        <w:szCs w:val="22"/>
      </w:rPr>
    </w:lvl>
    <w:lvl w:ilvl="1">
      <w:start w:val="1"/>
      <w:numFmt w:val="decimal"/>
      <w:isLgl/>
      <w:lvlText w:val="%1.%2."/>
      <w:lvlJc w:val="left"/>
      <w:pPr>
        <w:ind w:left="1080" w:hanging="720"/>
      </w:pPr>
      <w:rPr>
        <w:rFonts w:ascii="Times New Roman" w:eastAsiaTheme="majorEastAsia" w:hAnsi="Times New Roman" w:cs="Times New Roman" w:hint="default"/>
        <w:b/>
        <w:bCs w:val="0"/>
        <w:color w:val="000099"/>
        <w:sz w:val="26"/>
        <w:szCs w:val="26"/>
      </w:rPr>
    </w:lvl>
    <w:lvl w:ilvl="2">
      <w:start w:val="1"/>
      <w:numFmt w:val="decimal"/>
      <w:isLgl/>
      <w:lvlText w:val="%1.%2.%3."/>
      <w:lvlJc w:val="left"/>
      <w:pPr>
        <w:ind w:left="1080" w:hanging="720"/>
      </w:pPr>
      <w:rPr>
        <w:rFonts w:eastAsiaTheme="majorEastAsia" w:cstheme="majorBidi"/>
        <w:b/>
        <w:bCs/>
        <w:sz w:val="22"/>
      </w:rPr>
    </w:lvl>
    <w:lvl w:ilvl="3">
      <w:start w:val="1"/>
      <w:numFmt w:val="decimal"/>
      <w:isLgl/>
      <w:lvlText w:val="%1.%2.%3.%4."/>
      <w:lvlJc w:val="left"/>
      <w:pPr>
        <w:ind w:left="1440" w:hanging="1080"/>
      </w:pPr>
      <w:rPr>
        <w:rFonts w:eastAsiaTheme="majorEastAsia" w:cstheme="majorBidi"/>
        <w:sz w:val="22"/>
      </w:rPr>
    </w:lvl>
    <w:lvl w:ilvl="4">
      <w:start w:val="1"/>
      <w:numFmt w:val="decimal"/>
      <w:isLgl/>
      <w:lvlText w:val="%1.%2.%3.%4.%5."/>
      <w:lvlJc w:val="left"/>
      <w:pPr>
        <w:ind w:left="1440" w:hanging="1080"/>
      </w:pPr>
      <w:rPr>
        <w:rFonts w:eastAsiaTheme="majorEastAsia" w:cstheme="majorBidi"/>
        <w:sz w:val="22"/>
      </w:rPr>
    </w:lvl>
    <w:lvl w:ilvl="5">
      <w:start w:val="1"/>
      <w:numFmt w:val="decimal"/>
      <w:isLgl/>
      <w:lvlText w:val="%1.%2.%3.%4.%5.%6."/>
      <w:lvlJc w:val="left"/>
      <w:pPr>
        <w:ind w:left="1800" w:hanging="1440"/>
      </w:pPr>
      <w:rPr>
        <w:rFonts w:eastAsiaTheme="majorEastAsia" w:cstheme="majorBidi"/>
        <w:sz w:val="22"/>
      </w:rPr>
    </w:lvl>
    <w:lvl w:ilvl="6">
      <w:start w:val="1"/>
      <w:numFmt w:val="decimal"/>
      <w:isLgl/>
      <w:lvlText w:val="%1.%2.%3.%4.%5.%6.%7."/>
      <w:lvlJc w:val="left"/>
      <w:pPr>
        <w:ind w:left="1800" w:hanging="1440"/>
      </w:pPr>
      <w:rPr>
        <w:rFonts w:eastAsiaTheme="majorEastAsia" w:cstheme="majorBidi"/>
        <w:sz w:val="22"/>
      </w:rPr>
    </w:lvl>
    <w:lvl w:ilvl="7">
      <w:start w:val="1"/>
      <w:numFmt w:val="decimal"/>
      <w:isLgl/>
      <w:lvlText w:val="%1.%2.%3.%4.%5.%6.%7.%8."/>
      <w:lvlJc w:val="left"/>
      <w:pPr>
        <w:ind w:left="2160" w:hanging="1800"/>
      </w:pPr>
      <w:rPr>
        <w:rFonts w:eastAsiaTheme="majorEastAsia" w:cstheme="majorBidi"/>
        <w:sz w:val="22"/>
      </w:rPr>
    </w:lvl>
    <w:lvl w:ilvl="8">
      <w:start w:val="1"/>
      <w:numFmt w:val="decimal"/>
      <w:isLgl/>
      <w:lvlText w:val="%1.%2.%3.%4.%5.%6.%7.%8.%9."/>
      <w:lvlJc w:val="left"/>
      <w:pPr>
        <w:ind w:left="2520" w:hanging="2160"/>
      </w:pPr>
      <w:rPr>
        <w:rFonts w:eastAsiaTheme="majorEastAsia" w:cstheme="majorBidi"/>
        <w:sz w:val="22"/>
      </w:rPr>
    </w:lvl>
  </w:abstractNum>
  <w:abstractNum w:abstractNumId="19"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5"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2"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9"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3"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5"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8"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1"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5"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9"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7"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C3C5D37"/>
    <w:multiLevelType w:val="hybridMultilevel"/>
    <w:tmpl w:val="889C42AE"/>
    <w:lvl w:ilvl="0" w:tplc="140A0001">
      <w:start w:val="1"/>
      <w:numFmt w:val="bullet"/>
      <w:lvlText w:val=""/>
      <w:lvlJc w:val="left"/>
      <w:pPr>
        <w:ind w:left="941" w:hanging="360"/>
      </w:pPr>
      <w:rPr>
        <w:rFonts w:ascii="Symbol" w:hAnsi="Symbol" w:hint="default"/>
      </w:rPr>
    </w:lvl>
    <w:lvl w:ilvl="1" w:tplc="140A0003" w:tentative="1">
      <w:start w:val="1"/>
      <w:numFmt w:val="bullet"/>
      <w:lvlText w:val="o"/>
      <w:lvlJc w:val="left"/>
      <w:pPr>
        <w:ind w:left="1661" w:hanging="360"/>
      </w:pPr>
      <w:rPr>
        <w:rFonts w:ascii="Courier New" w:hAnsi="Courier New" w:cs="Courier New" w:hint="default"/>
      </w:rPr>
    </w:lvl>
    <w:lvl w:ilvl="2" w:tplc="140A0005" w:tentative="1">
      <w:start w:val="1"/>
      <w:numFmt w:val="bullet"/>
      <w:lvlText w:val=""/>
      <w:lvlJc w:val="left"/>
      <w:pPr>
        <w:ind w:left="2381" w:hanging="360"/>
      </w:pPr>
      <w:rPr>
        <w:rFonts w:ascii="Wingdings" w:hAnsi="Wingdings" w:hint="default"/>
      </w:rPr>
    </w:lvl>
    <w:lvl w:ilvl="3" w:tplc="140A0001" w:tentative="1">
      <w:start w:val="1"/>
      <w:numFmt w:val="bullet"/>
      <w:lvlText w:val=""/>
      <w:lvlJc w:val="left"/>
      <w:pPr>
        <w:ind w:left="3101" w:hanging="360"/>
      </w:pPr>
      <w:rPr>
        <w:rFonts w:ascii="Symbol" w:hAnsi="Symbol" w:hint="default"/>
      </w:rPr>
    </w:lvl>
    <w:lvl w:ilvl="4" w:tplc="140A0003" w:tentative="1">
      <w:start w:val="1"/>
      <w:numFmt w:val="bullet"/>
      <w:lvlText w:val="o"/>
      <w:lvlJc w:val="left"/>
      <w:pPr>
        <w:ind w:left="3821" w:hanging="360"/>
      </w:pPr>
      <w:rPr>
        <w:rFonts w:ascii="Courier New" w:hAnsi="Courier New" w:cs="Courier New" w:hint="default"/>
      </w:rPr>
    </w:lvl>
    <w:lvl w:ilvl="5" w:tplc="140A0005" w:tentative="1">
      <w:start w:val="1"/>
      <w:numFmt w:val="bullet"/>
      <w:lvlText w:val=""/>
      <w:lvlJc w:val="left"/>
      <w:pPr>
        <w:ind w:left="4541" w:hanging="360"/>
      </w:pPr>
      <w:rPr>
        <w:rFonts w:ascii="Wingdings" w:hAnsi="Wingdings" w:hint="default"/>
      </w:rPr>
    </w:lvl>
    <w:lvl w:ilvl="6" w:tplc="140A0001" w:tentative="1">
      <w:start w:val="1"/>
      <w:numFmt w:val="bullet"/>
      <w:lvlText w:val=""/>
      <w:lvlJc w:val="left"/>
      <w:pPr>
        <w:ind w:left="5261" w:hanging="360"/>
      </w:pPr>
      <w:rPr>
        <w:rFonts w:ascii="Symbol" w:hAnsi="Symbol" w:hint="default"/>
      </w:rPr>
    </w:lvl>
    <w:lvl w:ilvl="7" w:tplc="140A0003" w:tentative="1">
      <w:start w:val="1"/>
      <w:numFmt w:val="bullet"/>
      <w:lvlText w:val="o"/>
      <w:lvlJc w:val="left"/>
      <w:pPr>
        <w:ind w:left="5981" w:hanging="360"/>
      </w:pPr>
      <w:rPr>
        <w:rFonts w:ascii="Courier New" w:hAnsi="Courier New" w:cs="Courier New" w:hint="default"/>
      </w:rPr>
    </w:lvl>
    <w:lvl w:ilvl="8" w:tplc="140A0005" w:tentative="1">
      <w:start w:val="1"/>
      <w:numFmt w:val="bullet"/>
      <w:lvlText w:val=""/>
      <w:lvlJc w:val="left"/>
      <w:pPr>
        <w:ind w:left="6701" w:hanging="360"/>
      </w:pPr>
      <w:rPr>
        <w:rFonts w:ascii="Wingdings" w:hAnsi="Wingdings" w:hint="default"/>
      </w:rPr>
    </w:lvl>
  </w:abstractNum>
  <w:abstractNum w:abstractNumId="73"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4"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5"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9"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2"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3"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4"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9"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5"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9"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5"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6"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3"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5"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538931296">
    <w:abstractNumId w:val="2"/>
  </w:num>
  <w:num w:numId="2" w16cid:durableId="112794483">
    <w:abstractNumId w:val="65"/>
  </w:num>
  <w:num w:numId="3" w16cid:durableId="1416629627">
    <w:abstractNumId w:val="15"/>
  </w:num>
  <w:num w:numId="4" w16cid:durableId="1875848603">
    <w:abstractNumId w:val="102"/>
  </w:num>
  <w:num w:numId="5" w16cid:durableId="1973945279">
    <w:abstractNumId w:val="1"/>
  </w:num>
  <w:num w:numId="6" w16cid:durableId="155000854">
    <w:abstractNumId w:val="66"/>
  </w:num>
  <w:num w:numId="7" w16cid:durableId="974528154">
    <w:abstractNumId w:val="0"/>
  </w:num>
  <w:num w:numId="8" w16cid:durableId="12383184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0074051">
    <w:abstractNumId w:val="57"/>
  </w:num>
  <w:num w:numId="10" w16cid:durableId="800654005">
    <w:abstractNumId w:val="48"/>
  </w:num>
  <w:num w:numId="11" w16cid:durableId="2086221899">
    <w:abstractNumId w:val="47"/>
  </w:num>
  <w:num w:numId="12" w16cid:durableId="252129533">
    <w:abstractNumId w:val="105"/>
  </w:num>
  <w:num w:numId="13" w16cid:durableId="1621496376">
    <w:abstractNumId w:val="110"/>
  </w:num>
  <w:num w:numId="14" w16cid:durableId="1533877615">
    <w:abstractNumId w:val="33"/>
  </w:num>
  <w:num w:numId="15" w16cid:durableId="688146843">
    <w:abstractNumId w:val="123"/>
  </w:num>
  <w:num w:numId="16" w16cid:durableId="1752460042">
    <w:abstractNumId w:val="97"/>
  </w:num>
  <w:num w:numId="17" w16cid:durableId="1951431680">
    <w:abstractNumId w:val="86"/>
  </w:num>
  <w:num w:numId="18" w16cid:durableId="530531266">
    <w:abstractNumId w:val="89"/>
  </w:num>
  <w:num w:numId="19" w16cid:durableId="218174934">
    <w:abstractNumId w:val="24"/>
  </w:num>
  <w:num w:numId="20" w16cid:durableId="155197076">
    <w:abstractNumId w:val="46"/>
  </w:num>
  <w:num w:numId="21" w16cid:durableId="1856141819">
    <w:abstractNumId w:val="62"/>
  </w:num>
  <w:num w:numId="22" w16cid:durableId="2000577142">
    <w:abstractNumId w:val="22"/>
  </w:num>
  <w:num w:numId="23" w16cid:durableId="1365253619">
    <w:abstractNumId w:val="121"/>
  </w:num>
  <w:num w:numId="24" w16cid:durableId="2056808276">
    <w:abstractNumId w:val="56"/>
  </w:num>
  <w:num w:numId="25" w16cid:durableId="2117018363">
    <w:abstractNumId w:val="45"/>
  </w:num>
  <w:num w:numId="26" w16cid:durableId="859469282">
    <w:abstractNumId w:val="79"/>
  </w:num>
  <w:num w:numId="27" w16cid:durableId="1573345689">
    <w:abstractNumId w:val="12"/>
  </w:num>
  <w:num w:numId="28" w16cid:durableId="141890309">
    <w:abstractNumId w:val="40"/>
  </w:num>
  <w:num w:numId="29" w16cid:durableId="222327370">
    <w:abstractNumId w:val="76"/>
  </w:num>
  <w:num w:numId="30" w16cid:durableId="67195777">
    <w:abstractNumId w:val="59"/>
  </w:num>
  <w:num w:numId="31" w16cid:durableId="1737780580">
    <w:abstractNumId w:val="49"/>
  </w:num>
  <w:num w:numId="32" w16cid:durableId="80562710">
    <w:abstractNumId w:val="84"/>
  </w:num>
  <w:num w:numId="33" w16cid:durableId="1739286472">
    <w:abstractNumId w:val="9"/>
  </w:num>
  <w:num w:numId="34" w16cid:durableId="1080365540">
    <w:abstractNumId w:val="68"/>
  </w:num>
  <w:num w:numId="35" w16cid:durableId="1492403929">
    <w:abstractNumId w:val="39"/>
  </w:num>
  <w:num w:numId="36" w16cid:durableId="164591831">
    <w:abstractNumId w:val="17"/>
  </w:num>
  <w:num w:numId="37" w16cid:durableId="1418868369">
    <w:abstractNumId w:val="42"/>
  </w:num>
  <w:num w:numId="38" w16cid:durableId="174922517">
    <w:abstractNumId w:val="116"/>
  </w:num>
  <w:num w:numId="39" w16cid:durableId="1607694291">
    <w:abstractNumId w:val="34"/>
  </w:num>
  <w:num w:numId="40" w16cid:durableId="1324622632">
    <w:abstractNumId w:val="7"/>
  </w:num>
  <w:num w:numId="41" w16cid:durableId="1082917268">
    <w:abstractNumId w:val="118"/>
  </w:num>
  <w:num w:numId="42" w16cid:durableId="1612860683">
    <w:abstractNumId w:val="25"/>
  </w:num>
  <w:num w:numId="43" w16cid:durableId="1497259576">
    <w:abstractNumId w:val="8"/>
  </w:num>
  <w:num w:numId="44" w16cid:durableId="52461222">
    <w:abstractNumId w:val="52"/>
  </w:num>
  <w:num w:numId="45" w16cid:durableId="201216589">
    <w:abstractNumId w:val="95"/>
  </w:num>
  <w:num w:numId="46" w16cid:durableId="1588467086">
    <w:abstractNumId w:val="114"/>
  </w:num>
  <w:num w:numId="47" w16cid:durableId="1597861166">
    <w:abstractNumId w:val="115"/>
  </w:num>
  <w:num w:numId="48" w16cid:durableId="1665745221">
    <w:abstractNumId w:val="111"/>
  </w:num>
  <w:num w:numId="49" w16cid:durableId="62414495">
    <w:abstractNumId w:val="37"/>
  </w:num>
  <w:num w:numId="50" w16cid:durableId="662009267">
    <w:abstractNumId w:val="91"/>
  </w:num>
  <w:num w:numId="51" w16cid:durableId="1819296683">
    <w:abstractNumId w:val="21"/>
  </w:num>
  <w:num w:numId="52" w16cid:durableId="2081629489">
    <w:abstractNumId w:val="96"/>
  </w:num>
  <w:num w:numId="53" w16cid:durableId="115297223">
    <w:abstractNumId w:val="109"/>
  </w:num>
  <w:num w:numId="54" w16cid:durableId="322975324">
    <w:abstractNumId w:val="60"/>
  </w:num>
  <w:num w:numId="55" w16cid:durableId="95029265">
    <w:abstractNumId w:val="75"/>
  </w:num>
  <w:num w:numId="56" w16cid:durableId="2040163406">
    <w:abstractNumId w:val="51"/>
  </w:num>
  <w:num w:numId="57" w16cid:durableId="414325767">
    <w:abstractNumId w:val="16"/>
  </w:num>
  <w:num w:numId="58" w16cid:durableId="2078240570">
    <w:abstractNumId w:val="112"/>
  </w:num>
  <w:num w:numId="59" w16cid:durableId="467014643">
    <w:abstractNumId w:val="13"/>
  </w:num>
  <w:num w:numId="60" w16cid:durableId="1597202544">
    <w:abstractNumId w:val="99"/>
  </w:num>
  <w:num w:numId="61" w16cid:durableId="143549153">
    <w:abstractNumId w:val="64"/>
  </w:num>
  <w:num w:numId="62" w16cid:durableId="2002153898">
    <w:abstractNumId w:val="28"/>
  </w:num>
  <w:num w:numId="63" w16cid:durableId="1951429588">
    <w:abstractNumId w:val="32"/>
  </w:num>
  <w:num w:numId="64" w16cid:durableId="1471678814">
    <w:abstractNumId w:val="77"/>
  </w:num>
  <w:num w:numId="65" w16cid:durableId="1835946404">
    <w:abstractNumId w:val="128"/>
  </w:num>
  <w:num w:numId="66" w16cid:durableId="557057589">
    <w:abstractNumId w:val="63"/>
  </w:num>
  <w:num w:numId="67" w16cid:durableId="444616213">
    <w:abstractNumId w:val="93"/>
  </w:num>
  <w:num w:numId="68" w16cid:durableId="1511986971">
    <w:abstractNumId w:val="30"/>
  </w:num>
  <w:num w:numId="69" w16cid:durableId="1743407013">
    <w:abstractNumId w:val="29"/>
  </w:num>
  <w:num w:numId="70" w16cid:durableId="152332717">
    <w:abstractNumId w:val="94"/>
  </w:num>
  <w:num w:numId="71" w16cid:durableId="497423110">
    <w:abstractNumId w:val="126"/>
  </w:num>
  <w:num w:numId="72" w16cid:durableId="212424073">
    <w:abstractNumId w:val="53"/>
  </w:num>
  <w:num w:numId="73" w16cid:durableId="1162889189">
    <w:abstractNumId w:val="124"/>
  </w:num>
  <w:num w:numId="74" w16cid:durableId="935554802">
    <w:abstractNumId w:val="19"/>
  </w:num>
  <w:num w:numId="75" w16cid:durableId="1042679765">
    <w:abstractNumId w:val="26"/>
  </w:num>
  <w:num w:numId="76" w16cid:durableId="654915389">
    <w:abstractNumId w:val="106"/>
  </w:num>
  <w:num w:numId="77" w16cid:durableId="1566723680">
    <w:abstractNumId w:val="117"/>
  </w:num>
  <w:num w:numId="78" w16cid:durableId="2049530763">
    <w:abstractNumId w:val="127"/>
  </w:num>
  <w:num w:numId="79" w16cid:durableId="1721320370">
    <w:abstractNumId w:val="103"/>
  </w:num>
  <w:num w:numId="80" w16cid:durableId="2013874987">
    <w:abstractNumId w:val="80"/>
  </w:num>
  <w:num w:numId="81" w16cid:durableId="322900978">
    <w:abstractNumId w:val="100"/>
  </w:num>
  <w:num w:numId="82" w16cid:durableId="885946897">
    <w:abstractNumId w:val="108"/>
  </w:num>
  <w:num w:numId="83" w16cid:durableId="1398628762">
    <w:abstractNumId w:val="129"/>
  </w:num>
  <w:num w:numId="84" w16cid:durableId="1873181479">
    <w:abstractNumId w:val="85"/>
  </w:num>
  <w:num w:numId="85" w16cid:durableId="1853757867">
    <w:abstractNumId w:val="35"/>
  </w:num>
  <w:num w:numId="86" w16cid:durableId="908885773">
    <w:abstractNumId w:val="69"/>
  </w:num>
  <w:num w:numId="87" w16cid:durableId="1209146552">
    <w:abstractNumId w:val="101"/>
  </w:num>
  <w:num w:numId="88" w16cid:durableId="70783949">
    <w:abstractNumId w:val="58"/>
  </w:num>
  <w:num w:numId="89" w16cid:durableId="1155532560">
    <w:abstractNumId w:val="125"/>
  </w:num>
  <w:num w:numId="90" w16cid:durableId="1999528264">
    <w:abstractNumId w:val="61"/>
  </w:num>
  <w:num w:numId="91" w16cid:durableId="1189757780">
    <w:abstractNumId w:val="38"/>
  </w:num>
  <w:num w:numId="92" w16cid:durableId="1658260553">
    <w:abstractNumId w:val="23"/>
  </w:num>
  <w:num w:numId="93" w16cid:durableId="777482149">
    <w:abstractNumId w:val="36"/>
  </w:num>
  <w:num w:numId="94" w16cid:durableId="136267701">
    <w:abstractNumId w:val="27"/>
  </w:num>
  <w:num w:numId="95" w16cid:durableId="1079209342">
    <w:abstractNumId w:val="14"/>
  </w:num>
  <w:num w:numId="96" w16cid:durableId="966736612">
    <w:abstractNumId w:val="81"/>
  </w:num>
  <w:num w:numId="97" w16cid:durableId="1326937897">
    <w:abstractNumId w:val="74"/>
  </w:num>
  <w:num w:numId="98" w16cid:durableId="1505898349">
    <w:abstractNumId w:val="41"/>
  </w:num>
  <w:num w:numId="99" w16cid:durableId="1449275948">
    <w:abstractNumId w:val="90"/>
  </w:num>
  <w:num w:numId="100" w16cid:durableId="200871446">
    <w:abstractNumId w:val="73"/>
  </w:num>
  <w:num w:numId="101" w16cid:durableId="62029779">
    <w:abstractNumId w:val="88"/>
  </w:num>
  <w:num w:numId="102" w16cid:durableId="510804518">
    <w:abstractNumId w:val="31"/>
  </w:num>
  <w:num w:numId="103" w16cid:durableId="1167474997">
    <w:abstractNumId w:val="20"/>
  </w:num>
  <w:num w:numId="104" w16cid:durableId="945235873">
    <w:abstractNumId w:val="70"/>
  </w:num>
  <w:num w:numId="105" w16cid:durableId="1767461771">
    <w:abstractNumId w:val="10"/>
  </w:num>
  <w:num w:numId="106" w16cid:durableId="480655617">
    <w:abstractNumId w:val="83"/>
  </w:num>
  <w:num w:numId="107" w16cid:durableId="1100569610">
    <w:abstractNumId w:val="55"/>
  </w:num>
  <w:num w:numId="108" w16cid:durableId="737358252">
    <w:abstractNumId w:val="87"/>
  </w:num>
  <w:num w:numId="109" w16cid:durableId="145516123">
    <w:abstractNumId w:val="119"/>
  </w:num>
  <w:num w:numId="110" w16cid:durableId="1572040390">
    <w:abstractNumId w:val="6"/>
  </w:num>
  <w:num w:numId="111" w16cid:durableId="151676969">
    <w:abstractNumId w:val="71"/>
  </w:num>
  <w:num w:numId="112" w16cid:durableId="1352298997">
    <w:abstractNumId w:val="120"/>
  </w:num>
  <w:num w:numId="113" w16cid:durableId="621493828">
    <w:abstractNumId w:val="5"/>
  </w:num>
  <w:num w:numId="114" w16cid:durableId="788426848">
    <w:abstractNumId w:val="43"/>
  </w:num>
  <w:num w:numId="115" w16cid:durableId="242958974">
    <w:abstractNumId w:val="78"/>
  </w:num>
  <w:num w:numId="116" w16cid:durableId="185098935">
    <w:abstractNumId w:val="98"/>
  </w:num>
  <w:num w:numId="117" w16cid:durableId="1820800201">
    <w:abstractNumId w:val="50"/>
  </w:num>
  <w:num w:numId="118" w16cid:durableId="557127537">
    <w:abstractNumId w:val="11"/>
  </w:num>
  <w:num w:numId="119" w16cid:durableId="153295649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52609799">
    <w:abstractNumId w:val="54"/>
  </w:num>
  <w:num w:numId="121" w16cid:durableId="778449527">
    <w:abstractNumId w:val="113"/>
  </w:num>
  <w:num w:numId="122" w16cid:durableId="1079710345">
    <w:abstractNumId w:val="67"/>
  </w:num>
  <w:num w:numId="123" w16cid:durableId="1888181635">
    <w:abstractNumId w:val="130"/>
  </w:num>
  <w:num w:numId="124" w16cid:durableId="1700081555">
    <w:abstractNumId w:val="92"/>
  </w:num>
  <w:num w:numId="125" w16cid:durableId="1582565367">
    <w:abstractNumId w:val="107"/>
  </w:num>
  <w:num w:numId="126" w16cid:durableId="1035892025">
    <w:abstractNumId w:val="18"/>
  </w:num>
  <w:num w:numId="127" w16cid:durableId="39717404">
    <w:abstractNumId w:val="7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169B6"/>
    <w:rsid w:val="0002083F"/>
    <w:rsid w:val="000208C7"/>
    <w:rsid w:val="00020A3F"/>
    <w:rsid w:val="00020DC9"/>
    <w:rsid w:val="00024CA6"/>
    <w:rsid w:val="0002502F"/>
    <w:rsid w:val="000313FD"/>
    <w:rsid w:val="000324DA"/>
    <w:rsid w:val="00033191"/>
    <w:rsid w:val="00035408"/>
    <w:rsid w:val="0004129E"/>
    <w:rsid w:val="000414BA"/>
    <w:rsid w:val="00041C7B"/>
    <w:rsid w:val="00041CB5"/>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2CAE"/>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A16C0"/>
    <w:rsid w:val="000A1B5C"/>
    <w:rsid w:val="000A330B"/>
    <w:rsid w:val="000A6438"/>
    <w:rsid w:val="000A6845"/>
    <w:rsid w:val="000A7900"/>
    <w:rsid w:val="000B20DB"/>
    <w:rsid w:val="000B2C0A"/>
    <w:rsid w:val="000B32F9"/>
    <w:rsid w:val="000B439D"/>
    <w:rsid w:val="000B63DE"/>
    <w:rsid w:val="000B674F"/>
    <w:rsid w:val="000C1A12"/>
    <w:rsid w:val="000C1AF3"/>
    <w:rsid w:val="000C3FA1"/>
    <w:rsid w:val="000C41FA"/>
    <w:rsid w:val="000C6E78"/>
    <w:rsid w:val="000D05CE"/>
    <w:rsid w:val="000D1963"/>
    <w:rsid w:val="000D212B"/>
    <w:rsid w:val="000D21EF"/>
    <w:rsid w:val="000D3427"/>
    <w:rsid w:val="000D41D7"/>
    <w:rsid w:val="000D5744"/>
    <w:rsid w:val="000D6FFD"/>
    <w:rsid w:val="000D7745"/>
    <w:rsid w:val="000E0AC6"/>
    <w:rsid w:val="000E21F0"/>
    <w:rsid w:val="000E296A"/>
    <w:rsid w:val="000E3307"/>
    <w:rsid w:val="000E3584"/>
    <w:rsid w:val="000E4B24"/>
    <w:rsid w:val="000E525D"/>
    <w:rsid w:val="000E5915"/>
    <w:rsid w:val="000E71C5"/>
    <w:rsid w:val="000E7298"/>
    <w:rsid w:val="000F146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3D64"/>
    <w:rsid w:val="00127480"/>
    <w:rsid w:val="00130249"/>
    <w:rsid w:val="00136432"/>
    <w:rsid w:val="00136BD4"/>
    <w:rsid w:val="00141EF8"/>
    <w:rsid w:val="00143A3F"/>
    <w:rsid w:val="001462B2"/>
    <w:rsid w:val="001506AD"/>
    <w:rsid w:val="0015357E"/>
    <w:rsid w:val="001540CA"/>
    <w:rsid w:val="001542B1"/>
    <w:rsid w:val="0015687D"/>
    <w:rsid w:val="00157D8D"/>
    <w:rsid w:val="00157EED"/>
    <w:rsid w:val="001613B4"/>
    <w:rsid w:val="00161FFC"/>
    <w:rsid w:val="00162F82"/>
    <w:rsid w:val="001638AF"/>
    <w:rsid w:val="001640C5"/>
    <w:rsid w:val="001647C1"/>
    <w:rsid w:val="00165925"/>
    <w:rsid w:val="00171860"/>
    <w:rsid w:val="00173191"/>
    <w:rsid w:val="00174F69"/>
    <w:rsid w:val="001750B0"/>
    <w:rsid w:val="001766CF"/>
    <w:rsid w:val="0017715E"/>
    <w:rsid w:val="00177E74"/>
    <w:rsid w:val="00180422"/>
    <w:rsid w:val="00181591"/>
    <w:rsid w:val="00181C47"/>
    <w:rsid w:val="00186ADE"/>
    <w:rsid w:val="0019247F"/>
    <w:rsid w:val="001A174B"/>
    <w:rsid w:val="001A43FE"/>
    <w:rsid w:val="001A6391"/>
    <w:rsid w:val="001A63E0"/>
    <w:rsid w:val="001A6DCB"/>
    <w:rsid w:val="001B577D"/>
    <w:rsid w:val="001B7697"/>
    <w:rsid w:val="001C0C6E"/>
    <w:rsid w:val="001C25C1"/>
    <w:rsid w:val="001C2813"/>
    <w:rsid w:val="001C2F5B"/>
    <w:rsid w:val="001C3300"/>
    <w:rsid w:val="001C348B"/>
    <w:rsid w:val="001C3D6F"/>
    <w:rsid w:val="001D39C6"/>
    <w:rsid w:val="001E4C4F"/>
    <w:rsid w:val="001E4D6B"/>
    <w:rsid w:val="001E4E04"/>
    <w:rsid w:val="001E5171"/>
    <w:rsid w:val="001E53B9"/>
    <w:rsid w:val="001E5E1A"/>
    <w:rsid w:val="001E68CC"/>
    <w:rsid w:val="001F224B"/>
    <w:rsid w:val="001F66BE"/>
    <w:rsid w:val="002000CE"/>
    <w:rsid w:val="00203836"/>
    <w:rsid w:val="002059C1"/>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36B2A"/>
    <w:rsid w:val="00242E5F"/>
    <w:rsid w:val="00245D74"/>
    <w:rsid w:val="0025018C"/>
    <w:rsid w:val="00254A9E"/>
    <w:rsid w:val="00255680"/>
    <w:rsid w:val="00255C02"/>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D02B8"/>
    <w:rsid w:val="002D04D5"/>
    <w:rsid w:val="002D2FC1"/>
    <w:rsid w:val="002D3D71"/>
    <w:rsid w:val="002D7BED"/>
    <w:rsid w:val="002E0EC3"/>
    <w:rsid w:val="002E5433"/>
    <w:rsid w:val="002E6C1A"/>
    <w:rsid w:val="002E7CB8"/>
    <w:rsid w:val="002F0FC1"/>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4E8D"/>
    <w:rsid w:val="00325E9D"/>
    <w:rsid w:val="0032634B"/>
    <w:rsid w:val="00327CE2"/>
    <w:rsid w:val="00330900"/>
    <w:rsid w:val="003318B5"/>
    <w:rsid w:val="00331C62"/>
    <w:rsid w:val="00335E22"/>
    <w:rsid w:val="00342756"/>
    <w:rsid w:val="003438E5"/>
    <w:rsid w:val="00344DA2"/>
    <w:rsid w:val="0034587C"/>
    <w:rsid w:val="00347438"/>
    <w:rsid w:val="00347A60"/>
    <w:rsid w:val="003547C3"/>
    <w:rsid w:val="00357197"/>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97368"/>
    <w:rsid w:val="003A2112"/>
    <w:rsid w:val="003A2752"/>
    <w:rsid w:val="003A305D"/>
    <w:rsid w:val="003B023D"/>
    <w:rsid w:val="003B0A5B"/>
    <w:rsid w:val="003B1773"/>
    <w:rsid w:val="003B24FE"/>
    <w:rsid w:val="003B2689"/>
    <w:rsid w:val="003B2983"/>
    <w:rsid w:val="003B7827"/>
    <w:rsid w:val="003C1B14"/>
    <w:rsid w:val="003C1D06"/>
    <w:rsid w:val="003C1F66"/>
    <w:rsid w:val="003C2151"/>
    <w:rsid w:val="003C3831"/>
    <w:rsid w:val="003C6FE1"/>
    <w:rsid w:val="003D4A18"/>
    <w:rsid w:val="003D4C7A"/>
    <w:rsid w:val="003D5B44"/>
    <w:rsid w:val="003D6337"/>
    <w:rsid w:val="003E2507"/>
    <w:rsid w:val="003E2D68"/>
    <w:rsid w:val="003E3EED"/>
    <w:rsid w:val="003E5F4D"/>
    <w:rsid w:val="003E6E93"/>
    <w:rsid w:val="003F12A9"/>
    <w:rsid w:val="003F12D3"/>
    <w:rsid w:val="003F1F3D"/>
    <w:rsid w:val="003F4783"/>
    <w:rsid w:val="003F7EDE"/>
    <w:rsid w:val="00404533"/>
    <w:rsid w:val="004065DF"/>
    <w:rsid w:val="00412BB4"/>
    <w:rsid w:val="00413808"/>
    <w:rsid w:val="00413877"/>
    <w:rsid w:val="00413D20"/>
    <w:rsid w:val="004158AD"/>
    <w:rsid w:val="0041639D"/>
    <w:rsid w:val="00420020"/>
    <w:rsid w:val="00420CF7"/>
    <w:rsid w:val="0042598D"/>
    <w:rsid w:val="004260F1"/>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91E3A"/>
    <w:rsid w:val="00493233"/>
    <w:rsid w:val="004A0C44"/>
    <w:rsid w:val="004A1312"/>
    <w:rsid w:val="004A2270"/>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C77DA"/>
    <w:rsid w:val="004D192C"/>
    <w:rsid w:val="004D2236"/>
    <w:rsid w:val="004D2E19"/>
    <w:rsid w:val="004D3A51"/>
    <w:rsid w:val="004D5A9B"/>
    <w:rsid w:val="004D6743"/>
    <w:rsid w:val="004E0F9F"/>
    <w:rsid w:val="004E1825"/>
    <w:rsid w:val="004E7220"/>
    <w:rsid w:val="004F2A8F"/>
    <w:rsid w:val="004F5989"/>
    <w:rsid w:val="005008D6"/>
    <w:rsid w:val="00500FE2"/>
    <w:rsid w:val="0050238D"/>
    <w:rsid w:val="00505576"/>
    <w:rsid w:val="00506924"/>
    <w:rsid w:val="005164B8"/>
    <w:rsid w:val="00517B30"/>
    <w:rsid w:val="0052204B"/>
    <w:rsid w:val="00526690"/>
    <w:rsid w:val="00530912"/>
    <w:rsid w:val="00531F4D"/>
    <w:rsid w:val="00532569"/>
    <w:rsid w:val="00543EFD"/>
    <w:rsid w:val="00544269"/>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725"/>
    <w:rsid w:val="005B5825"/>
    <w:rsid w:val="005B773F"/>
    <w:rsid w:val="005B7E88"/>
    <w:rsid w:val="005C2A23"/>
    <w:rsid w:val="005C2E66"/>
    <w:rsid w:val="005C7BBC"/>
    <w:rsid w:val="005D04F5"/>
    <w:rsid w:val="005D2042"/>
    <w:rsid w:val="005D34D0"/>
    <w:rsid w:val="005D4EB3"/>
    <w:rsid w:val="005D6F70"/>
    <w:rsid w:val="005E01F2"/>
    <w:rsid w:val="005E0CBA"/>
    <w:rsid w:val="005E2FAC"/>
    <w:rsid w:val="005F404D"/>
    <w:rsid w:val="006001FF"/>
    <w:rsid w:val="006034DF"/>
    <w:rsid w:val="006042AB"/>
    <w:rsid w:val="00606FAD"/>
    <w:rsid w:val="006107F6"/>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4905"/>
    <w:rsid w:val="00636B1C"/>
    <w:rsid w:val="006402B0"/>
    <w:rsid w:val="00640BEB"/>
    <w:rsid w:val="00642C5F"/>
    <w:rsid w:val="0064326B"/>
    <w:rsid w:val="00643DD9"/>
    <w:rsid w:val="00646537"/>
    <w:rsid w:val="00646BF4"/>
    <w:rsid w:val="00652BC7"/>
    <w:rsid w:val="00653E57"/>
    <w:rsid w:val="00655E99"/>
    <w:rsid w:val="0065644F"/>
    <w:rsid w:val="00656AD0"/>
    <w:rsid w:val="006578E0"/>
    <w:rsid w:val="00662200"/>
    <w:rsid w:val="0066356A"/>
    <w:rsid w:val="0066595E"/>
    <w:rsid w:val="00667F65"/>
    <w:rsid w:val="00675D90"/>
    <w:rsid w:val="00677782"/>
    <w:rsid w:val="00680056"/>
    <w:rsid w:val="00680D5A"/>
    <w:rsid w:val="006868D6"/>
    <w:rsid w:val="00692485"/>
    <w:rsid w:val="006933A4"/>
    <w:rsid w:val="006938BD"/>
    <w:rsid w:val="00694993"/>
    <w:rsid w:val="00694CD1"/>
    <w:rsid w:val="0069543D"/>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0C96"/>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1E43"/>
    <w:rsid w:val="00723545"/>
    <w:rsid w:val="00725E31"/>
    <w:rsid w:val="00731B89"/>
    <w:rsid w:val="00732F11"/>
    <w:rsid w:val="007331DC"/>
    <w:rsid w:val="00733D5A"/>
    <w:rsid w:val="00735606"/>
    <w:rsid w:val="00735891"/>
    <w:rsid w:val="007410C4"/>
    <w:rsid w:val="00741726"/>
    <w:rsid w:val="00746B73"/>
    <w:rsid w:val="00746FCB"/>
    <w:rsid w:val="00751CA6"/>
    <w:rsid w:val="00756C24"/>
    <w:rsid w:val="00760DC3"/>
    <w:rsid w:val="00760DD1"/>
    <w:rsid w:val="0076119D"/>
    <w:rsid w:val="00761D01"/>
    <w:rsid w:val="00764265"/>
    <w:rsid w:val="00766183"/>
    <w:rsid w:val="00766A8E"/>
    <w:rsid w:val="00767662"/>
    <w:rsid w:val="007734FA"/>
    <w:rsid w:val="007743E2"/>
    <w:rsid w:val="00776581"/>
    <w:rsid w:val="007813E4"/>
    <w:rsid w:val="00781728"/>
    <w:rsid w:val="0078296F"/>
    <w:rsid w:val="00783386"/>
    <w:rsid w:val="00783AD1"/>
    <w:rsid w:val="00784111"/>
    <w:rsid w:val="00784471"/>
    <w:rsid w:val="00790B81"/>
    <w:rsid w:val="00792BA3"/>
    <w:rsid w:val="00792DA2"/>
    <w:rsid w:val="00792E37"/>
    <w:rsid w:val="007A19CA"/>
    <w:rsid w:val="007A228E"/>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3B21"/>
    <w:rsid w:val="008143AB"/>
    <w:rsid w:val="00815A61"/>
    <w:rsid w:val="00816AE2"/>
    <w:rsid w:val="008172AE"/>
    <w:rsid w:val="00824D7A"/>
    <w:rsid w:val="00826B64"/>
    <w:rsid w:val="008331D5"/>
    <w:rsid w:val="008341B8"/>
    <w:rsid w:val="00840A6F"/>
    <w:rsid w:val="00840BF5"/>
    <w:rsid w:val="008453B2"/>
    <w:rsid w:val="00845434"/>
    <w:rsid w:val="00847617"/>
    <w:rsid w:val="00850C88"/>
    <w:rsid w:val="00854F22"/>
    <w:rsid w:val="00855F00"/>
    <w:rsid w:val="00856AE7"/>
    <w:rsid w:val="00860FA5"/>
    <w:rsid w:val="00861DDF"/>
    <w:rsid w:val="0086212B"/>
    <w:rsid w:val="0086369A"/>
    <w:rsid w:val="00865ECB"/>
    <w:rsid w:val="008666B1"/>
    <w:rsid w:val="00866A52"/>
    <w:rsid w:val="00870870"/>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4F3"/>
    <w:rsid w:val="00894626"/>
    <w:rsid w:val="0089474A"/>
    <w:rsid w:val="008958DD"/>
    <w:rsid w:val="00895C3B"/>
    <w:rsid w:val="00895F92"/>
    <w:rsid w:val="008A1FF1"/>
    <w:rsid w:val="008A2B4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3A9B"/>
    <w:rsid w:val="008F7BD8"/>
    <w:rsid w:val="00901F61"/>
    <w:rsid w:val="009033DA"/>
    <w:rsid w:val="0091084F"/>
    <w:rsid w:val="00910D0C"/>
    <w:rsid w:val="00911C10"/>
    <w:rsid w:val="00912119"/>
    <w:rsid w:val="00916994"/>
    <w:rsid w:val="0092006D"/>
    <w:rsid w:val="00920158"/>
    <w:rsid w:val="00926F2E"/>
    <w:rsid w:val="0093170F"/>
    <w:rsid w:val="009322A3"/>
    <w:rsid w:val="00932AAE"/>
    <w:rsid w:val="00933DDB"/>
    <w:rsid w:val="00933FB3"/>
    <w:rsid w:val="0093452A"/>
    <w:rsid w:val="00934AB7"/>
    <w:rsid w:val="009413F0"/>
    <w:rsid w:val="009414E9"/>
    <w:rsid w:val="00941953"/>
    <w:rsid w:val="00942063"/>
    <w:rsid w:val="00942821"/>
    <w:rsid w:val="009447E0"/>
    <w:rsid w:val="00944E19"/>
    <w:rsid w:val="00944EFF"/>
    <w:rsid w:val="0094758F"/>
    <w:rsid w:val="00950671"/>
    <w:rsid w:val="00951B93"/>
    <w:rsid w:val="00952F7A"/>
    <w:rsid w:val="00953964"/>
    <w:rsid w:val="00954B12"/>
    <w:rsid w:val="009561F5"/>
    <w:rsid w:val="00961CB7"/>
    <w:rsid w:val="0096609A"/>
    <w:rsid w:val="00966AEF"/>
    <w:rsid w:val="00971E77"/>
    <w:rsid w:val="0098148C"/>
    <w:rsid w:val="00982C7B"/>
    <w:rsid w:val="0098360C"/>
    <w:rsid w:val="0098377C"/>
    <w:rsid w:val="0098398C"/>
    <w:rsid w:val="00986367"/>
    <w:rsid w:val="00987E15"/>
    <w:rsid w:val="00990C50"/>
    <w:rsid w:val="009911B0"/>
    <w:rsid w:val="00995028"/>
    <w:rsid w:val="009A0AC8"/>
    <w:rsid w:val="009A3C5E"/>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1EEB"/>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128AF"/>
    <w:rsid w:val="00A20BEE"/>
    <w:rsid w:val="00A22C29"/>
    <w:rsid w:val="00A31821"/>
    <w:rsid w:val="00A31EA0"/>
    <w:rsid w:val="00A37A85"/>
    <w:rsid w:val="00A415BA"/>
    <w:rsid w:val="00A44A11"/>
    <w:rsid w:val="00A44A32"/>
    <w:rsid w:val="00A45B9F"/>
    <w:rsid w:val="00A4668C"/>
    <w:rsid w:val="00A474D6"/>
    <w:rsid w:val="00A512C8"/>
    <w:rsid w:val="00A51690"/>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766BC"/>
    <w:rsid w:val="00A812E2"/>
    <w:rsid w:val="00A815D2"/>
    <w:rsid w:val="00A81A13"/>
    <w:rsid w:val="00A852CB"/>
    <w:rsid w:val="00A94CF4"/>
    <w:rsid w:val="00A95FA0"/>
    <w:rsid w:val="00A963D1"/>
    <w:rsid w:val="00A9668F"/>
    <w:rsid w:val="00A979FF"/>
    <w:rsid w:val="00AA1E86"/>
    <w:rsid w:val="00AA3202"/>
    <w:rsid w:val="00AA5BE0"/>
    <w:rsid w:val="00AB144B"/>
    <w:rsid w:val="00AB2E62"/>
    <w:rsid w:val="00AB66F7"/>
    <w:rsid w:val="00AB73C6"/>
    <w:rsid w:val="00AC2BF6"/>
    <w:rsid w:val="00AC7BEB"/>
    <w:rsid w:val="00AD0601"/>
    <w:rsid w:val="00AD1B4D"/>
    <w:rsid w:val="00AD22D4"/>
    <w:rsid w:val="00AD241A"/>
    <w:rsid w:val="00AD50A8"/>
    <w:rsid w:val="00AD60A3"/>
    <w:rsid w:val="00AD67C6"/>
    <w:rsid w:val="00AD738D"/>
    <w:rsid w:val="00AD7613"/>
    <w:rsid w:val="00AD7CEF"/>
    <w:rsid w:val="00AE1904"/>
    <w:rsid w:val="00AE2F5C"/>
    <w:rsid w:val="00AE32D4"/>
    <w:rsid w:val="00AE66E1"/>
    <w:rsid w:val="00AE77B6"/>
    <w:rsid w:val="00AF0F90"/>
    <w:rsid w:val="00AF21FD"/>
    <w:rsid w:val="00AF263F"/>
    <w:rsid w:val="00AF2AAE"/>
    <w:rsid w:val="00AF34DF"/>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504A"/>
    <w:rsid w:val="00B66120"/>
    <w:rsid w:val="00B70A30"/>
    <w:rsid w:val="00B73E56"/>
    <w:rsid w:val="00B74269"/>
    <w:rsid w:val="00B75216"/>
    <w:rsid w:val="00B76DE0"/>
    <w:rsid w:val="00B81475"/>
    <w:rsid w:val="00B83125"/>
    <w:rsid w:val="00B86DE4"/>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C4E2A"/>
    <w:rsid w:val="00BD2F49"/>
    <w:rsid w:val="00BD481D"/>
    <w:rsid w:val="00BD601E"/>
    <w:rsid w:val="00BE0E9D"/>
    <w:rsid w:val="00BE2779"/>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37457"/>
    <w:rsid w:val="00C4166D"/>
    <w:rsid w:val="00C4187C"/>
    <w:rsid w:val="00C44059"/>
    <w:rsid w:val="00C44302"/>
    <w:rsid w:val="00C44FDA"/>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8068F"/>
    <w:rsid w:val="00C81BD6"/>
    <w:rsid w:val="00C82676"/>
    <w:rsid w:val="00C82B77"/>
    <w:rsid w:val="00C83D93"/>
    <w:rsid w:val="00C8490E"/>
    <w:rsid w:val="00C85883"/>
    <w:rsid w:val="00C8738D"/>
    <w:rsid w:val="00C96A3D"/>
    <w:rsid w:val="00CA00C9"/>
    <w:rsid w:val="00CA72D8"/>
    <w:rsid w:val="00CB2160"/>
    <w:rsid w:val="00CB255E"/>
    <w:rsid w:val="00CB4A9A"/>
    <w:rsid w:val="00CB6AEB"/>
    <w:rsid w:val="00CC4555"/>
    <w:rsid w:val="00CC49D9"/>
    <w:rsid w:val="00CC61E3"/>
    <w:rsid w:val="00CD0C50"/>
    <w:rsid w:val="00CD128B"/>
    <w:rsid w:val="00CD1D73"/>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02FC2"/>
    <w:rsid w:val="00D139C4"/>
    <w:rsid w:val="00D13AC3"/>
    <w:rsid w:val="00D15F24"/>
    <w:rsid w:val="00D16A7F"/>
    <w:rsid w:val="00D17D82"/>
    <w:rsid w:val="00D22C4F"/>
    <w:rsid w:val="00D253A8"/>
    <w:rsid w:val="00D25FD3"/>
    <w:rsid w:val="00D30FE0"/>
    <w:rsid w:val="00D32702"/>
    <w:rsid w:val="00D3342F"/>
    <w:rsid w:val="00D35229"/>
    <w:rsid w:val="00D36F22"/>
    <w:rsid w:val="00D425F0"/>
    <w:rsid w:val="00D43AAC"/>
    <w:rsid w:val="00D462D6"/>
    <w:rsid w:val="00D51E0F"/>
    <w:rsid w:val="00D53711"/>
    <w:rsid w:val="00D53C91"/>
    <w:rsid w:val="00D563D1"/>
    <w:rsid w:val="00D6078F"/>
    <w:rsid w:val="00D60FA9"/>
    <w:rsid w:val="00D63646"/>
    <w:rsid w:val="00D64B6D"/>
    <w:rsid w:val="00D66836"/>
    <w:rsid w:val="00D67A95"/>
    <w:rsid w:val="00D73744"/>
    <w:rsid w:val="00D77139"/>
    <w:rsid w:val="00D81A34"/>
    <w:rsid w:val="00D81F08"/>
    <w:rsid w:val="00D825E3"/>
    <w:rsid w:val="00D827B3"/>
    <w:rsid w:val="00D8616B"/>
    <w:rsid w:val="00D86BE7"/>
    <w:rsid w:val="00D922BB"/>
    <w:rsid w:val="00D930B6"/>
    <w:rsid w:val="00D939E7"/>
    <w:rsid w:val="00D93E61"/>
    <w:rsid w:val="00D969BA"/>
    <w:rsid w:val="00DA2A3B"/>
    <w:rsid w:val="00DA68B3"/>
    <w:rsid w:val="00DA6B0B"/>
    <w:rsid w:val="00DB3D84"/>
    <w:rsid w:val="00DB662B"/>
    <w:rsid w:val="00DB749E"/>
    <w:rsid w:val="00DC4E81"/>
    <w:rsid w:val="00DC5A7F"/>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2368"/>
    <w:rsid w:val="00E033D0"/>
    <w:rsid w:val="00E0671C"/>
    <w:rsid w:val="00E114AD"/>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D81"/>
    <w:rsid w:val="00E57405"/>
    <w:rsid w:val="00E60A06"/>
    <w:rsid w:val="00E6149C"/>
    <w:rsid w:val="00E6394B"/>
    <w:rsid w:val="00E64066"/>
    <w:rsid w:val="00E71977"/>
    <w:rsid w:val="00E7263D"/>
    <w:rsid w:val="00E748D0"/>
    <w:rsid w:val="00E7681F"/>
    <w:rsid w:val="00E77F5E"/>
    <w:rsid w:val="00E8000F"/>
    <w:rsid w:val="00E815A3"/>
    <w:rsid w:val="00E821CF"/>
    <w:rsid w:val="00E8254C"/>
    <w:rsid w:val="00E82A69"/>
    <w:rsid w:val="00E83FBA"/>
    <w:rsid w:val="00E845FE"/>
    <w:rsid w:val="00E90F1E"/>
    <w:rsid w:val="00E92B73"/>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F0B"/>
    <w:rsid w:val="00EE610B"/>
    <w:rsid w:val="00EF0A77"/>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70FDC"/>
    <w:rsid w:val="00F718AA"/>
    <w:rsid w:val="00F721FF"/>
    <w:rsid w:val="00F7603A"/>
    <w:rsid w:val="00F8043F"/>
    <w:rsid w:val="00F80BF0"/>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E7F0B"/>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E3584"/>
  </w:style>
  <w:style w:type="character" w:customStyle="1" w:styleId="WW-Absatz-Standardschriftart">
    <w:name w:val="WW-Absatz-Standardschriftart"/>
    <w:rsid w:val="000E3584"/>
  </w:style>
  <w:style w:type="character" w:customStyle="1" w:styleId="WW-Absatz-Standardschriftart1">
    <w:name w:val="WW-Absatz-Standardschriftart1"/>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rsid w:val="000E3584"/>
  </w:style>
  <w:style w:type="character" w:styleId="Hipervnculo">
    <w:name w:val="Hyperlink"/>
    <w:rsid w:val="000E3584"/>
    <w:rPr>
      <w:color w:val="000080"/>
      <w:u w:val="single"/>
    </w:rPr>
  </w:style>
  <w:style w:type="character" w:customStyle="1" w:styleId="Carcterdenumeracin">
    <w:name w:val="Carácter de numeración"/>
    <w:rsid w:val="000E3584"/>
  </w:style>
  <w:style w:type="character" w:customStyle="1" w:styleId="Vietas">
    <w:name w:val="Viñetas"/>
    <w:rsid w:val="000E3584"/>
    <w:rPr>
      <w:rFonts w:ascii="StarSymbol" w:eastAsia="StarSymbol" w:hAnsi="StarSymbol" w:cs="StarSymbol"/>
      <w:sz w:val="18"/>
      <w:szCs w:val="18"/>
    </w:rPr>
  </w:style>
  <w:style w:type="paragraph" w:customStyle="1" w:styleId="Encabezado2">
    <w:name w:val="Encabezado2"/>
    <w:basedOn w:val="Normal"/>
    <w:next w:val="Textoindependiente"/>
    <w:rsid w:val="000E3584"/>
    <w:pPr>
      <w:keepNext/>
      <w:spacing w:before="240" w:after="120"/>
    </w:pPr>
    <w:rPr>
      <w:rFonts w:ascii="Arial" w:eastAsia="Arial Unicode MS" w:hAnsi="Arial"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customStyle="1" w:styleId="Etiqueta">
    <w:name w:val="Etiqueta"/>
    <w:basedOn w:val="Normal"/>
    <w:rsid w:val="000E3584"/>
    <w:pPr>
      <w:suppressLineNumbers/>
      <w:spacing w:before="120" w:after="120"/>
    </w:pPr>
    <w:rPr>
      <w:rFonts w:cs="Tahoma"/>
      <w:i/>
      <w:iCs/>
    </w:rPr>
  </w:style>
  <w:style w:type="paragraph" w:customStyle="1" w:styleId="ndice">
    <w:name w:val="Índice"/>
    <w:basedOn w:val="Normal"/>
    <w:rsid w:val="000E3584"/>
    <w:pPr>
      <w:suppressLineNumbers/>
    </w:pPr>
    <w:rPr>
      <w:rFonts w:cs="Tahoma"/>
    </w:rPr>
  </w:style>
  <w:style w:type="paragraph" w:customStyle="1" w:styleId="Encabezado1">
    <w:name w:val="Encabezado1"/>
    <w:basedOn w:val="Normal"/>
    <w:next w:val="Textoindependiente"/>
    <w:rsid w:val="000E3584"/>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E3584"/>
    <w:pPr>
      <w:widowControl w:val="0"/>
      <w:suppressAutoHyphens/>
    </w:pPr>
    <w:rPr>
      <w:rFonts w:eastAsia="Arial Unicode MS"/>
      <w:sz w:val="28"/>
      <w:szCs w:val="28"/>
      <w:lang w:val="es-ES_tradnl" w:eastAsia="ar-SA"/>
    </w:rPr>
  </w:style>
  <w:style w:type="paragraph" w:customStyle="1" w:styleId="Ttulo5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E3584"/>
  </w:style>
  <w:style w:type="paragraph" w:customStyle="1" w:styleId="Contenidodelatabla">
    <w:name w:val="Contenido de la tabla"/>
    <w:basedOn w:val="Normal"/>
    <w:rsid w:val="000E3584"/>
    <w:pPr>
      <w:suppressLineNumbers/>
    </w:pPr>
  </w:style>
  <w:style w:type="paragraph" w:customStyle="1" w:styleId="Encabezadodelatabla">
    <w:name w:val="Encabezado de la tabla"/>
    <w:basedOn w:val="Contenidodelatabla"/>
    <w:rsid w:val="000E3584"/>
    <w:pPr>
      <w:jc w:val="center"/>
    </w:pPr>
    <w:rPr>
      <w:b/>
      <w:bCs/>
    </w:rPr>
  </w:style>
  <w:style w:type="paragraph" w:customStyle="1" w:styleId="style3">
    <w:name w:val="style3"/>
    <w:basedOn w:val="Normal"/>
    <w:rsid w:val="000E3584"/>
    <w:pPr>
      <w:spacing w:before="280" w:after="280"/>
    </w:pPr>
    <w:rPr>
      <w:b/>
      <w:bCs/>
      <w:color w:val="000000"/>
    </w:rPr>
  </w:style>
  <w:style w:type="paragraph" w:styleId="NormalWeb">
    <w:name w:val="Normal (Web)"/>
    <w:basedOn w:val="Normal"/>
    <w:link w:val="NormalWebCar"/>
    <w:qFormat/>
    <w:rsid w:val="000E3584"/>
    <w:pPr>
      <w:spacing w:before="280" w:after="280"/>
    </w:pPr>
  </w:style>
  <w:style w:type="paragraph" w:customStyle="1" w:styleId="Ttulo3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table" w:customStyle="1" w:styleId="Tablaconcuadrcula1">
    <w:name w:val="Tabla con cuadrícula1"/>
    <w:basedOn w:val="Tablanormal"/>
    <w:next w:val="Tablaconcuadrcula"/>
    <w:uiPriority w:val="39"/>
    <w:rsid w:val="00D827B3"/>
    <w:rPr>
      <w:rFonts w:ascii="Calibri" w:hAnsi="Calibri"/>
      <w:sz w:val="21"/>
      <w:szCs w:val="21"/>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827B3"/>
    <w:rPr>
      <w:rFonts w:ascii="Arial" w:eastAsia="Calibri" w:hAnsi="Arial"/>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143340">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package" Target="embeddings/Microsoft_Word_Document.doc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xuspj.poder-judicial.go.cr/document/act-1-0003-4394-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exuspj.poder-judicial.go.cr/document/act-1-0003-3388-64" TargetMode="External"/><Relationship Id="rId4" Type="http://schemas.openxmlformats.org/officeDocument/2006/relationships/webSettings" Target="webSettings.xml"/><Relationship Id="rId9" Type="http://schemas.openxmlformats.org/officeDocument/2006/relationships/hyperlink" Target="https://nexuspj.poder-judicial.go.cr/document/act-1-0003-4394-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2256</Words>
  <Characters>12408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14635</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Miguel Mc Calla Vaz</cp:lastModifiedBy>
  <cp:revision>2</cp:revision>
  <cp:lastPrinted>2016-02-03T19:46:00Z</cp:lastPrinted>
  <dcterms:created xsi:type="dcterms:W3CDTF">2023-04-13T15:36:00Z</dcterms:created>
  <dcterms:modified xsi:type="dcterms:W3CDTF">2023-04-13T15:36:00Z</dcterms:modified>
</cp:coreProperties>
</file>